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sidR="00024075">
        <w:rPr>
          <w:rFonts w:eastAsia="宋体" w:hint="eastAsia"/>
          <w:sz w:val="22"/>
          <w:szCs w:val="22"/>
          <w:lang w:val="en-GB" w:eastAsia="zh-CN"/>
        </w:rPr>
        <w:t>bis</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00C20BC5" w:rsidRPr="00C20BC5">
        <w:rPr>
          <w:sz w:val="22"/>
          <w:szCs w:val="22"/>
          <w:lang w:val="en-GB"/>
        </w:rPr>
        <w:t>R2-1903149</w:t>
      </w:r>
    </w:p>
    <w:p w:rsidR="00401DBF" w:rsidRPr="00731C2C" w:rsidRDefault="00C41BF8" w:rsidP="00401DBF">
      <w:pPr>
        <w:pStyle w:val="a4"/>
        <w:rPr>
          <w:lang w:val="en-GB"/>
        </w:rPr>
      </w:pPr>
      <w:r>
        <w:rPr>
          <w:rFonts w:eastAsia="宋体" w:hint="eastAsia"/>
          <w:sz w:val="22"/>
          <w:szCs w:val="22"/>
          <w:lang w:val="en-GB" w:eastAsia="zh-CN"/>
        </w:rPr>
        <w:t>Xi</w:t>
      </w:r>
      <w:r>
        <w:rPr>
          <w:rFonts w:eastAsia="宋体"/>
          <w:sz w:val="22"/>
          <w:szCs w:val="22"/>
          <w:lang w:val="en-GB" w:eastAsia="zh-CN"/>
        </w:rPr>
        <w:t>’</w:t>
      </w:r>
      <w:r>
        <w:rPr>
          <w:rFonts w:eastAsia="宋体" w:hint="eastAsia"/>
          <w:sz w:val="22"/>
          <w:szCs w:val="22"/>
          <w:lang w:val="en-GB" w:eastAsia="zh-CN"/>
        </w:rPr>
        <w:t>an</w:t>
      </w:r>
      <w:r w:rsidRPr="007B33E4">
        <w:rPr>
          <w:sz w:val="22"/>
          <w:szCs w:val="22"/>
          <w:lang w:val="en-GB"/>
        </w:rPr>
        <w:t xml:space="preserve">, </w:t>
      </w:r>
      <w:r>
        <w:rPr>
          <w:rFonts w:eastAsiaTheme="minorEastAsia" w:hint="eastAsia"/>
          <w:sz w:val="22"/>
          <w:szCs w:val="22"/>
          <w:lang w:val="en-GB" w:eastAsia="zh-CN"/>
        </w:rPr>
        <w:t>China</w:t>
      </w:r>
      <w:r w:rsidRPr="007B33E4">
        <w:rPr>
          <w:sz w:val="22"/>
          <w:szCs w:val="22"/>
          <w:lang w:val="en-GB"/>
        </w:rPr>
        <w:t xml:space="preserve">, </w:t>
      </w:r>
      <w:r>
        <w:rPr>
          <w:rFonts w:eastAsia="宋体" w:hint="eastAsia"/>
          <w:sz w:val="22"/>
          <w:szCs w:val="22"/>
          <w:lang w:val="en-GB" w:eastAsia="zh-CN"/>
        </w:rPr>
        <w:t>08</w:t>
      </w:r>
      <w:r w:rsidRPr="009A4783">
        <w:rPr>
          <w:sz w:val="22"/>
          <w:szCs w:val="22"/>
          <w:vertAlign w:val="superscript"/>
          <w:lang w:val="en-GB"/>
        </w:rPr>
        <w:t>th</w:t>
      </w:r>
      <w:r w:rsidRPr="00796045">
        <w:rPr>
          <w:rFonts w:eastAsia="宋体" w:hint="eastAsia"/>
          <w:sz w:val="22"/>
          <w:szCs w:val="22"/>
          <w:lang w:val="en-GB" w:eastAsia="zh-CN"/>
        </w:rPr>
        <w:t xml:space="preserve"> </w:t>
      </w:r>
      <w:r w:rsidR="005C0637">
        <w:rPr>
          <w:rFonts w:eastAsia="宋体" w:hint="eastAsia"/>
          <w:sz w:val="22"/>
          <w:szCs w:val="22"/>
          <w:lang w:val="en-GB" w:eastAsia="zh-CN"/>
        </w:rPr>
        <w:t>-</w:t>
      </w:r>
      <w:r w:rsidRPr="007B33E4">
        <w:rPr>
          <w:sz w:val="22"/>
          <w:szCs w:val="22"/>
          <w:lang w:val="en-GB"/>
        </w:rPr>
        <w:t xml:space="preserve"> </w:t>
      </w:r>
      <w:r>
        <w:rPr>
          <w:rFonts w:eastAsia="宋体" w:hint="eastAsia"/>
          <w:sz w:val="22"/>
          <w:szCs w:val="22"/>
          <w:lang w:val="en-GB" w:eastAsia="zh-CN"/>
        </w:rPr>
        <w:t>12</w:t>
      </w:r>
      <w:r w:rsidRPr="000D756C">
        <w:rPr>
          <w:rFonts w:eastAsia="宋体" w:hint="eastAsia"/>
          <w:sz w:val="22"/>
          <w:szCs w:val="22"/>
          <w:vertAlign w:val="superscript"/>
          <w:lang w:val="en-GB" w:eastAsia="zh-CN"/>
        </w:rPr>
        <w:t>th</w:t>
      </w:r>
      <w:r>
        <w:rPr>
          <w:rFonts w:eastAsia="宋体" w:hint="eastAsia"/>
          <w:sz w:val="22"/>
          <w:szCs w:val="22"/>
          <w:lang w:val="en-GB" w:eastAsia="zh-CN"/>
        </w:rPr>
        <w:t xml:space="preserve"> Apr</w:t>
      </w:r>
      <w:r w:rsidR="005C0637">
        <w:rPr>
          <w:rFonts w:eastAsia="宋体" w:hint="eastAsia"/>
          <w:sz w:val="22"/>
          <w:szCs w:val="22"/>
          <w:lang w:val="en-GB" w:eastAsia="zh-CN"/>
        </w:rPr>
        <w:t>il</w:t>
      </w:r>
      <w:r w:rsidRPr="007B33E4">
        <w:rPr>
          <w:sz w:val="22"/>
          <w:szCs w:val="22"/>
          <w:lang w:val="en-GB"/>
        </w:rPr>
        <w:t xml:space="preserve"> 201</w:t>
      </w:r>
      <w:r>
        <w:rPr>
          <w:rFonts w:eastAsiaTheme="minorEastAsia" w:hint="eastAsia"/>
          <w:sz w:val="22"/>
          <w:szCs w:val="22"/>
          <w:lang w:val="en-GB" w:eastAsia="zh-CN"/>
        </w:rPr>
        <w:t>9</w:t>
      </w:r>
      <w:r w:rsidR="00D715F8">
        <w:rPr>
          <w:rFonts w:eastAsiaTheme="minorEastAsia" w:hint="eastAsia"/>
          <w:sz w:val="22"/>
          <w:szCs w:val="22"/>
          <w:lang w:val="en-GB" w:eastAsia="zh-CN"/>
        </w:rPr>
        <w:t xml:space="preserve">            </w:t>
      </w:r>
      <w:r w:rsidR="00AA6AF6">
        <w:rPr>
          <w:rFonts w:eastAsiaTheme="minorEastAsia"/>
          <w:sz w:val="22"/>
          <w:szCs w:val="22"/>
          <w:lang w:val="en-GB" w:eastAsia="zh-CN"/>
        </w:rPr>
        <w:t xml:space="preserve">                </w:t>
      </w:r>
      <w:r w:rsidR="005C0637">
        <w:rPr>
          <w:rFonts w:eastAsiaTheme="minorEastAsia" w:hint="eastAsia"/>
          <w:sz w:val="22"/>
          <w:szCs w:val="22"/>
          <w:lang w:val="en-GB" w:eastAsia="zh-CN"/>
        </w:rPr>
        <w:t xml:space="preserve">      </w:t>
      </w:r>
      <w:r w:rsidR="00AA6AF6">
        <w:rPr>
          <w:rFonts w:eastAsiaTheme="minorEastAsia"/>
          <w:sz w:val="22"/>
          <w:szCs w:val="22"/>
          <w:lang w:val="en-GB" w:eastAsia="zh-CN"/>
        </w:rPr>
        <w:t xml:space="preserve">     </w:t>
      </w:r>
      <w:r w:rsidR="00AA6AF6" w:rsidRPr="00991CD2">
        <w:rPr>
          <w:rFonts w:eastAsiaTheme="minorEastAsia" w:hint="eastAsia"/>
          <w:i/>
          <w:sz w:val="22"/>
          <w:szCs w:val="22"/>
          <w:lang w:val="en-GB" w:eastAsia="zh-CN"/>
        </w:rPr>
        <w:t xml:space="preserve">Revision of </w:t>
      </w:r>
      <w:r w:rsidR="00AA6AF6" w:rsidRPr="00991CD2">
        <w:rPr>
          <w:i/>
          <w:sz w:val="22"/>
          <w:szCs w:val="22"/>
          <w:lang w:val="en-GB"/>
        </w:rPr>
        <w:t>R2-190015</w:t>
      </w:r>
      <w:r w:rsidR="00AA6AF6">
        <w:rPr>
          <w:i/>
          <w:sz w:val="22"/>
          <w:szCs w:val="22"/>
          <w:lang w:val="en-GB"/>
        </w:rPr>
        <w:t>2</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024075" w:rsidRDefault="00E3725B" w:rsidP="00434542">
      <w:pPr>
        <w:pStyle w:val="a4"/>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20BC5" w:rsidRPr="00C317F9">
        <w:rPr>
          <w:rFonts w:eastAsiaTheme="minorEastAsia" w:hint="eastAsia"/>
          <w:sz w:val="22"/>
          <w:lang w:eastAsia="zh-CN"/>
        </w:rPr>
        <w:t>MAC-specific aspects of SPS&amp;CG configurations</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401DBF">
        <w:rPr>
          <w:rFonts w:eastAsia="宋体" w:cs="Arial"/>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C41BF8" w:rsidRDefault="00C41BF8" w:rsidP="00735AF5">
      <w:pPr>
        <w:pStyle w:val="a0"/>
        <w:rPr>
          <w:rFonts w:eastAsia="宋体"/>
          <w:lang w:eastAsia="zh-CN"/>
        </w:rPr>
      </w:pPr>
      <w:bookmarkStart w:id="4" w:name="OLE_LINK1"/>
      <w:bookmarkStart w:id="5" w:name="OLE_LINK2"/>
      <w:r>
        <w:rPr>
          <w:rFonts w:eastAsia="宋体" w:hint="eastAsia"/>
          <w:lang w:eastAsia="zh-CN"/>
        </w:rPr>
        <w:t xml:space="preserve">In RAN#83 meeting, </w:t>
      </w:r>
      <w:r w:rsidR="006F5066">
        <w:rPr>
          <w:rFonts w:eastAsia="宋体"/>
          <w:lang w:eastAsia="zh-CN"/>
        </w:rPr>
        <w:t xml:space="preserve">a </w:t>
      </w:r>
      <w:r w:rsidR="007C4E79">
        <w:rPr>
          <w:rFonts w:eastAsia="宋体" w:hint="eastAsia"/>
          <w:lang w:eastAsia="zh-CN"/>
        </w:rPr>
        <w:t xml:space="preserve">WID </w:t>
      </w:r>
      <w:r w:rsidR="006F5066">
        <w:rPr>
          <w:rFonts w:eastAsia="宋体"/>
          <w:lang w:eastAsia="zh-CN"/>
        </w:rPr>
        <w:t xml:space="preserve">for </w:t>
      </w:r>
      <w:proofErr w:type="spellStart"/>
      <w:r w:rsidR="006F5066">
        <w:rPr>
          <w:rFonts w:eastAsia="宋体"/>
          <w:lang w:eastAsia="zh-CN"/>
        </w:rPr>
        <w:t>I</w:t>
      </w:r>
      <w:r w:rsidR="007C4E79" w:rsidRPr="005A3797">
        <w:t>IoT</w:t>
      </w:r>
      <w:proofErr w:type="spellEnd"/>
      <w:r w:rsidR="007C4E79">
        <w:rPr>
          <w:rFonts w:eastAsia="宋体" w:hint="eastAsia"/>
          <w:lang w:eastAsia="zh-CN"/>
        </w:rPr>
        <w:t xml:space="preserve"> was agreed </w:t>
      </w:r>
      <w:r w:rsidR="00817C9D">
        <w:rPr>
          <w:rFonts w:eastAsia="宋体"/>
          <w:lang w:eastAsia="zh-CN"/>
        </w:rPr>
        <w:fldChar w:fldCharType="begin"/>
      </w:r>
      <w:r w:rsidR="00817C9D">
        <w:rPr>
          <w:rFonts w:eastAsia="宋体"/>
          <w:lang w:eastAsia="zh-CN"/>
        </w:rPr>
        <w:instrText xml:space="preserve"> </w:instrText>
      </w:r>
      <w:r w:rsidR="00817C9D">
        <w:rPr>
          <w:rFonts w:eastAsia="宋体" w:hint="eastAsia"/>
          <w:lang w:eastAsia="zh-CN"/>
        </w:rPr>
        <w:instrText>REF _Ref859876 \r \h</w:instrText>
      </w:r>
      <w:r w:rsidR="00817C9D">
        <w:rPr>
          <w:rFonts w:eastAsia="宋体"/>
          <w:lang w:eastAsia="zh-CN"/>
        </w:rPr>
        <w:instrText xml:space="preserve"> </w:instrText>
      </w:r>
      <w:r w:rsidR="00817C9D">
        <w:rPr>
          <w:rFonts w:eastAsia="宋体"/>
          <w:lang w:eastAsia="zh-CN"/>
        </w:rPr>
      </w:r>
      <w:r w:rsidR="00817C9D">
        <w:rPr>
          <w:rFonts w:eastAsia="宋体"/>
          <w:lang w:eastAsia="zh-CN"/>
        </w:rPr>
        <w:fldChar w:fldCharType="separate"/>
      </w:r>
      <w:r w:rsidR="00817C9D">
        <w:rPr>
          <w:rFonts w:eastAsia="宋体"/>
          <w:lang w:eastAsia="zh-CN"/>
        </w:rPr>
        <w:t>[1]</w:t>
      </w:r>
      <w:r w:rsidR="00817C9D">
        <w:rPr>
          <w:rFonts w:eastAsia="宋体"/>
          <w:lang w:eastAsia="zh-CN"/>
        </w:rPr>
        <w:fldChar w:fldCharType="end"/>
      </w:r>
      <w:r w:rsidR="006F5066">
        <w:rPr>
          <w:rFonts w:eastAsia="宋体"/>
          <w:lang w:eastAsia="zh-CN"/>
        </w:rPr>
        <w:t>,</w:t>
      </w:r>
      <w:r>
        <w:rPr>
          <w:rFonts w:eastAsia="宋体" w:hint="eastAsia"/>
          <w:lang w:eastAsia="zh-CN"/>
        </w:rPr>
        <w:t xml:space="preserve"> </w:t>
      </w:r>
      <w:r w:rsidR="006F5066">
        <w:rPr>
          <w:rFonts w:eastAsia="宋体"/>
          <w:lang w:eastAsia="zh-CN"/>
        </w:rPr>
        <w:t>a</w:t>
      </w:r>
      <w:r>
        <w:rPr>
          <w:rFonts w:eastAsia="宋体" w:hint="eastAsia"/>
          <w:lang w:eastAsia="zh-CN"/>
        </w:rPr>
        <w:t xml:space="preserve">nd one of the </w:t>
      </w:r>
      <w:r>
        <w:rPr>
          <w:rFonts w:eastAsia="宋体"/>
          <w:lang w:eastAsia="zh-CN"/>
        </w:rPr>
        <w:t>objective</w:t>
      </w:r>
      <w:r>
        <w:rPr>
          <w:rFonts w:eastAsia="宋体" w:hint="eastAsia"/>
          <w:lang w:eastAsia="zh-CN"/>
        </w:rPr>
        <w:t>s is</w:t>
      </w:r>
    </w:p>
    <w:p w:rsidR="000C77D2" w:rsidRPr="000C77D2" w:rsidRDefault="00C41BF8" w:rsidP="000C77D2">
      <w:pPr>
        <w:pStyle w:val="a0"/>
        <w:rPr>
          <w:rFonts w:eastAsia="宋体"/>
          <w:lang w:eastAsia="zh-CN"/>
        </w:rPr>
      </w:pPr>
      <w:r>
        <w:rPr>
          <w:rFonts w:eastAsia="宋体" w:hint="eastAsia"/>
          <w:lang w:eastAsia="zh-CN"/>
        </w:rPr>
        <w:t>----------------------------------------------------------------------------------------------------------------------------</w:t>
      </w:r>
    </w:p>
    <w:p w:rsidR="000C77D2" w:rsidRDefault="000C77D2" w:rsidP="000C77D2">
      <w:pPr>
        <w:overflowPunct w:val="0"/>
        <w:autoSpaceDE w:val="0"/>
        <w:autoSpaceDN w:val="0"/>
        <w:adjustRightInd w:val="0"/>
        <w:jc w:val="both"/>
        <w:textAlignment w:val="baseline"/>
        <w:rPr>
          <w:bCs/>
        </w:rPr>
      </w:pPr>
      <w:r>
        <w:rPr>
          <w:rFonts w:eastAsiaTheme="minorEastAsia" w:hint="eastAsia"/>
          <w:bCs/>
          <w:lang w:eastAsia="zh-CN"/>
        </w:rPr>
        <w:t xml:space="preserve">3. </w:t>
      </w:r>
      <w:r>
        <w:rPr>
          <w:bCs/>
        </w:rPr>
        <w:t>The detailed objectives for NR TSC-related enhancements include:</w:t>
      </w:r>
    </w:p>
    <w:p w:rsidR="000C77D2" w:rsidRDefault="000C77D2" w:rsidP="000C77D2">
      <w:pPr>
        <w:numPr>
          <w:ilvl w:val="0"/>
          <w:numId w:val="16"/>
        </w:numPr>
        <w:overflowPunct w:val="0"/>
        <w:autoSpaceDE w:val="0"/>
        <w:autoSpaceDN w:val="0"/>
        <w:adjustRightInd w:val="0"/>
        <w:jc w:val="both"/>
        <w:textAlignment w:val="baseline"/>
      </w:pPr>
      <w:r>
        <w:t xml:space="preserve">Specify accurate reference timing delivery from </w:t>
      </w:r>
      <w:proofErr w:type="spellStart"/>
      <w:r>
        <w:t>gNB</w:t>
      </w:r>
      <w:proofErr w:type="spellEnd"/>
      <w:r>
        <w:t xml:space="preserve"> to UE using broadcast and unicast RRC </w:t>
      </w:r>
      <w:proofErr w:type="spellStart"/>
      <w:r>
        <w:t>signalling</w:t>
      </w:r>
      <w:proofErr w:type="spellEnd"/>
      <w:r>
        <w:t xml:space="preserve"> </w:t>
      </w:r>
      <w:r w:rsidRPr="007512F9">
        <w:t xml:space="preserve">(with EUTRA Rel-15 </w:t>
      </w:r>
      <w:proofErr w:type="spellStart"/>
      <w:r w:rsidRPr="007512F9">
        <w:t>signalling</w:t>
      </w:r>
      <w:proofErr w:type="spellEnd"/>
      <w:r w:rsidRPr="007512F9">
        <w:t xml:space="preserve"> solution as baseline) for synchronization requirements defined in TS 22.104)</w:t>
      </w:r>
      <w:r>
        <w:t xml:space="preserve"> [RAN2].</w:t>
      </w:r>
    </w:p>
    <w:p w:rsidR="000C77D2" w:rsidRDefault="000C77D2" w:rsidP="000C77D2">
      <w:pPr>
        <w:numPr>
          <w:ilvl w:val="0"/>
          <w:numId w:val="16"/>
        </w:numPr>
        <w:overflowPunct w:val="0"/>
        <w:autoSpaceDE w:val="0"/>
        <w:autoSpaceDN w:val="0"/>
        <w:adjustRightInd w:val="0"/>
        <w:jc w:val="both"/>
        <w:textAlignment w:val="baseline"/>
      </w:pPr>
      <w:r w:rsidRPr="003804B4">
        <w:t xml:space="preserve">Specify enhancements to satisfy </w:t>
      </w:r>
      <w:proofErr w:type="spellStart"/>
      <w:r w:rsidRPr="003804B4">
        <w:t>QoS</w:t>
      </w:r>
      <w:proofErr w:type="spellEnd"/>
      <w:r w:rsidRPr="003804B4">
        <w:t xml:space="preserve"> for wireless Ethernet when using TS</w:t>
      </w:r>
      <w:r>
        <w:t>C</w:t>
      </w:r>
      <w:r w:rsidRPr="003804B4">
        <w:t xml:space="preserve"> traffic patterns</w:t>
      </w:r>
      <w:r>
        <w:t xml:space="preserve">, including </w:t>
      </w:r>
    </w:p>
    <w:p w:rsidR="000C77D2" w:rsidRDefault="000C77D2" w:rsidP="000C77D2">
      <w:pPr>
        <w:numPr>
          <w:ilvl w:val="1"/>
          <w:numId w:val="16"/>
        </w:numPr>
        <w:overflowPunct w:val="0"/>
        <w:autoSpaceDE w:val="0"/>
        <w:autoSpaceDN w:val="0"/>
        <w:adjustRightInd w:val="0"/>
        <w:jc w:val="both"/>
        <w:textAlignment w:val="baseline"/>
      </w:pPr>
      <w:r>
        <w:t xml:space="preserve">Support of provisioning, from Core Network to RAN and between RAN nodes (e.g. upon handover), of UE’s TSC traffic pattern related information such as </w:t>
      </w:r>
      <w:r w:rsidRPr="003804B4">
        <w:t>message</w:t>
      </w:r>
      <w:r>
        <w:t xml:space="preserve"> periodicity, message size, message arrival time at </w:t>
      </w:r>
      <w:proofErr w:type="spellStart"/>
      <w:r>
        <w:t>gNB</w:t>
      </w:r>
      <w:proofErr w:type="spellEnd"/>
      <w:r>
        <w:t xml:space="preserve"> (DL) and UE (UL) [RAN3].</w:t>
      </w:r>
    </w:p>
    <w:p w:rsidR="000C77D2" w:rsidRPr="00EB1317" w:rsidRDefault="000C77D2" w:rsidP="000C77D2">
      <w:pPr>
        <w:numPr>
          <w:ilvl w:val="1"/>
          <w:numId w:val="16"/>
        </w:numPr>
        <w:overflowPunct w:val="0"/>
        <w:autoSpaceDE w:val="0"/>
        <w:autoSpaceDN w:val="0"/>
        <w:adjustRightInd w:val="0"/>
        <w:jc w:val="both"/>
        <w:textAlignment w:val="baseline"/>
        <w:rPr>
          <w:highlight w:val="yellow"/>
        </w:rPr>
      </w:pPr>
      <w:r w:rsidRPr="00EB1317">
        <w:rPr>
          <w:highlight w:val="yellow"/>
        </w:rPr>
        <w:t>Support for multiple simultaneous active semi-persistent scheduling (SPS) configurations for a given BWP of a UE. [RAN2, RAN1].</w:t>
      </w:r>
    </w:p>
    <w:p w:rsidR="000C77D2" w:rsidRDefault="000C77D2" w:rsidP="000C77D2">
      <w:pPr>
        <w:numPr>
          <w:ilvl w:val="1"/>
          <w:numId w:val="16"/>
        </w:numPr>
        <w:overflowPunct w:val="0"/>
        <w:autoSpaceDE w:val="0"/>
        <w:autoSpaceDN w:val="0"/>
        <w:adjustRightInd w:val="0"/>
        <w:jc w:val="both"/>
        <w:textAlignment w:val="baseline"/>
      </w:pPr>
      <w:r>
        <w:t>Support for shorter SPS periodicities than the existing ones [RAN2, RAN1].</w:t>
      </w:r>
    </w:p>
    <w:p w:rsidR="000C77D2" w:rsidRPr="003804B4" w:rsidRDefault="000C77D2" w:rsidP="000C77D2">
      <w:pPr>
        <w:numPr>
          <w:ilvl w:val="0"/>
          <w:numId w:val="16"/>
        </w:numPr>
        <w:overflowPunct w:val="0"/>
        <w:autoSpaceDE w:val="0"/>
        <w:autoSpaceDN w:val="0"/>
        <w:adjustRightInd w:val="0"/>
        <w:jc w:val="both"/>
        <w:textAlignment w:val="baseline"/>
      </w:pPr>
      <w:r>
        <w:t>Address support for TSC message periodicities with non-integer multiple of NR supported CG/SPS periodicities, as captured in TR 38.825, section 6.5.2. [RAN2, RAN1].</w:t>
      </w:r>
    </w:p>
    <w:p w:rsidR="000C77D2" w:rsidRPr="007512F9" w:rsidRDefault="000C77D2" w:rsidP="000C77D2">
      <w:pPr>
        <w:numPr>
          <w:ilvl w:val="0"/>
          <w:numId w:val="16"/>
        </w:numPr>
        <w:overflowPunct w:val="0"/>
        <w:autoSpaceDE w:val="0"/>
        <w:autoSpaceDN w:val="0"/>
        <w:adjustRightInd w:val="0"/>
        <w:jc w:val="both"/>
        <w:textAlignment w:val="baseline"/>
      </w:pPr>
      <w:r>
        <w:t>Specify Ethernet header compression based on structure-aware</w:t>
      </w:r>
      <w:r w:rsidRPr="003804B4">
        <w:t xml:space="preserve"> algorithm</w:t>
      </w:r>
      <w:r>
        <w:t xml:space="preserve"> [RAN2].</w:t>
      </w:r>
    </w:p>
    <w:p w:rsidR="000C77D2" w:rsidRPr="003804B4" w:rsidRDefault="000C77D2" w:rsidP="000C77D2">
      <w:pPr>
        <w:numPr>
          <w:ilvl w:val="1"/>
          <w:numId w:val="16"/>
        </w:numPr>
        <w:overflowPunct w:val="0"/>
        <w:autoSpaceDE w:val="0"/>
        <w:autoSpaceDN w:val="0"/>
        <w:adjustRightInd w:val="0"/>
        <w:jc w:val="both"/>
        <w:textAlignment w:val="baseline"/>
      </w:pPr>
      <w:r>
        <w:t>Ethernet header compression solution for LTE to be specified once the design principle for NR is agreed. The impacted LTE specifications to be added latest at RAN#85.</w:t>
      </w:r>
    </w:p>
    <w:p w:rsidR="00C41BF8" w:rsidRDefault="00C41BF8" w:rsidP="00C41BF8">
      <w:pPr>
        <w:pStyle w:val="a0"/>
        <w:rPr>
          <w:rFonts w:eastAsia="宋体"/>
          <w:lang w:eastAsia="zh-CN"/>
        </w:rPr>
      </w:pPr>
      <w:r>
        <w:rPr>
          <w:rFonts w:eastAsia="宋体" w:hint="eastAsia"/>
          <w:lang w:eastAsia="zh-CN"/>
        </w:rPr>
        <w:t>----------------------------------------------------------------------------------------------------------------------------</w:t>
      </w:r>
    </w:p>
    <w:p w:rsidR="00FB6BC0" w:rsidRDefault="00ED0A3A" w:rsidP="00EA527E">
      <w:pPr>
        <w:pStyle w:val="a0"/>
        <w:rPr>
          <w:rFonts w:eastAsiaTheme="minorEastAsia"/>
          <w:lang w:eastAsia="zh-CN"/>
        </w:rPr>
      </w:pPr>
      <w:r>
        <w:rPr>
          <w:rFonts w:eastAsiaTheme="minorEastAsia"/>
          <w:lang w:eastAsia="zh-CN"/>
        </w:rPr>
        <w:t xml:space="preserve">Although the handling of multiple active SPS and CG configurations per BWP has been split </w:t>
      </w:r>
      <w:r w:rsidR="00FB6BC0">
        <w:rPr>
          <w:rFonts w:eastAsiaTheme="minorEastAsia"/>
          <w:lang w:eastAsia="zh-CN"/>
        </w:rPr>
        <w:t xml:space="preserve">in RAN#83 </w:t>
      </w:r>
      <w:r>
        <w:rPr>
          <w:rFonts w:eastAsiaTheme="minorEastAsia"/>
          <w:lang w:eastAsia="zh-CN"/>
        </w:rPr>
        <w:t xml:space="preserve">between RAN1 </w:t>
      </w:r>
      <w:proofErr w:type="spellStart"/>
      <w:r>
        <w:rPr>
          <w:rFonts w:eastAsiaTheme="minorEastAsia"/>
          <w:lang w:eastAsia="zh-CN"/>
        </w:rPr>
        <w:t>eURLLC</w:t>
      </w:r>
      <w:proofErr w:type="spellEnd"/>
      <w:r>
        <w:rPr>
          <w:rFonts w:eastAsiaTheme="minorEastAsia"/>
          <w:lang w:eastAsia="zh-CN"/>
        </w:rPr>
        <w:t xml:space="preserve"> WID </w:t>
      </w:r>
      <w:r w:rsidR="0002406C">
        <w:rPr>
          <w:rFonts w:eastAsiaTheme="minorEastAsia"/>
          <w:lang w:eastAsia="zh-CN"/>
        </w:rPr>
        <w:fldChar w:fldCharType="begin"/>
      </w:r>
      <w:r w:rsidR="0002406C">
        <w:rPr>
          <w:rFonts w:eastAsiaTheme="minorEastAsia"/>
          <w:lang w:eastAsia="zh-CN"/>
        </w:rPr>
        <w:instrText xml:space="preserve"> REF _Ref4592160 \r \h </w:instrText>
      </w:r>
      <w:r w:rsidR="0002406C">
        <w:rPr>
          <w:rFonts w:eastAsiaTheme="minorEastAsia"/>
          <w:lang w:eastAsia="zh-CN"/>
        </w:rPr>
      </w:r>
      <w:r w:rsidR="0002406C">
        <w:rPr>
          <w:rFonts w:eastAsiaTheme="minorEastAsia"/>
          <w:lang w:eastAsia="zh-CN"/>
        </w:rPr>
        <w:fldChar w:fldCharType="separate"/>
      </w:r>
      <w:r w:rsidR="0002406C">
        <w:rPr>
          <w:rFonts w:eastAsiaTheme="minorEastAsia"/>
          <w:lang w:eastAsia="zh-CN"/>
        </w:rPr>
        <w:t>[2]</w:t>
      </w:r>
      <w:r w:rsidR="0002406C">
        <w:rPr>
          <w:rFonts w:eastAsiaTheme="minorEastAsia"/>
          <w:lang w:eastAsia="zh-CN"/>
        </w:rPr>
        <w:fldChar w:fldCharType="end"/>
      </w:r>
      <w:r w:rsidR="00AA6AF6">
        <w:rPr>
          <w:rFonts w:eastAsiaTheme="minorEastAsia"/>
          <w:lang w:eastAsia="zh-CN"/>
        </w:rPr>
        <w:t xml:space="preserve"> </w:t>
      </w:r>
      <w:r>
        <w:rPr>
          <w:rFonts w:eastAsiaTheme="minorEastAsia"/>
          <w:lang w:eastAsia="zh-CN"/>
        </w:rPr>
        <w:t xml:space="preserve">(CG) and the RAN2 </w:t>
      </w:r>
      <w:proofErr w:type="spellStart"/>
      <w:r>
        <w:rPr>
          <w:rFonts w:eastAsiaTheme="minorEastAsia"/>
          <w:lang w:eastAsia="zh-CN"/>
        </w:rPr>
        <w:t>IIoT</w:t>
      </w:r>
      <w:proofErr w:type="spellEnd"/>
      <w:r>
        <w:rPr>
          <w:rFonts w:eastAsiaTheme="minorEastAsia"/>
          <w:lang w:eastAsia="zh-CN"/>
        </w:rPr>
        <w:t xml:space="preserve"> WID </w:t>
      </w:r>
      <w:r w:rsidR="00AA6AF6">
        <w:rPr>
          <w:rFonts w:eastAsia="宋体"/>
          <w:lang w:eastAsia="zh-CN"/>
        </w:rPr>
        <w:fldChar w:fldCharType="begin"/>
      </w:r>
      <w:r w:rsidR="00AA6AF6">
        <w:rPr>
          <w:rFonts w:eastAsia="宋体"/>
          <w:lang w:eastAsia="zh-CN"/>
        </w:rPr>
        <w:instrText xml:space="preserve"> </w:instrText>
      </w:r>
      <w:r w:rsidR="00AA6AF6">
        <w:rPr>
          <w:rFonts w:eastAsia="宋体" w:hint="eastAsia"/>
          <w:lang w:eastAsia="zh-CN"/>
        </w:rPr>
        <w:instrText>REF _Ref859876 \r \h</w:instrText>
      </w:r>
      <w:r w:rsidR="00AA6AF6">
        <w:rPr>
          <w:rFonts w:eastAsia="宋体"/>
          <w:lang w:eastAsia="zh-CN"/>
        </w:rPr>
        <w:instrText xml:space="preserve"> </w:instrText>
      </w:r>
      <w:r w:rsidR="00AA6AF6">
        <w:rPr>
          <w:rFonts w:eastAsia="宋体"/>
          <w:lang w:eastAsia="zh-CN"/>
        </w:rPr>
      </w:r>
      <w:r w:rsidR="00AA6AF6">
        <w:rPr>
          <w:rFonts w:eastAsia="宋体"/>
          <w:lang w:eastAsia="zh-CN"/>
        </w:rPr>
        <w:fldChar w:fldCharType="separate"/>
      </w:r>
      <w:r w:rsidR="00AA6AF6">
        <w:rPr>
          <w:rFonts w:eastAsia="宋体"/>
          <w:lang w:eastAsia="zh-CN"/>
        </w:rPr>
        <w:t>[1]</w:t>
      </w:r>
      <w:r w:rsidR="00AA6AF6">
        <w:rPr>
          <w:rFonts w:eastAsia="宋体"/>
          <w:lang w:eastAsia="zh-CN"/>
        </w:rPr>
        <w:fldChar w:fldCharType="end"/>
      </w:r>
      <w:r w:rsidR="00AA6AF6">
        <w:rPr>
          <w:rFonts w:eastAsiaTheme="minorEastAsia"/>
          <w:lang w:eastAsia="zh-CN"/>
        </w:rPr>
        <w:t xml:space="preserve"> </w:t>
      </w:r>
      <w:r>
        <w:rPr>
          <w:rFonts w:eastAsiaTheme="minorEastAsia"/>
          <w:lang w:eastAsia="zh-CN"/>
        </w:rPr>
        <w:t xml:space="preserve">(SPS), </w:t>
      </w:r>
      <w:r w:rsidR="00FB6BC0">
        <w:rPr>
          <w:rFonts w:eastAsiaTheme="minorEastAsia"/>
          <w:lang w:eastAsia="zh-CN"/>
        </w:rPr>
        <w:t xml:space="preserve">they both have </w:t>
      </w:r>
      <w:r w:rsidR="00EA527E">
        <w:rPr>
          <w:rFonts w:eastAsiaTheme="minorEastAsia"/>
          <w:lang w:eastAsia="zh-CN"/>
        </w:rPr>
        <w:t>one</w:t>
      </w:r>
      <w:r>
        <w:rPr>
          <w:rFonts w:eastAsiaTheme="minorEastAsia"/>
          <w:lang w:eastAsia="zh-CN"/>
        </w:rPr>
        <w:t xml:space="preserve"> common </w:t>
      </w:r>
      <w:r w:rsidR="00FB6BC0">
        <w:rPr>
          <w:rFonts w:eastAsiaTheme="minorEastAsia"/>
          <w:lang w:eastAsia="zh-CN"/>
        </w:rPr>
        <w:t>impact on MAC</w:t>
      </w:r>
      <w:r w:rsidR="00EA527E">
        <w:rPr>
          <w:rFonts w:eastAsiaTheme="minorEastAsia"/>
          <w:lang w:eastAsia="zh-CN"/>
        </w:rPr>
        <w:t xml:space="preserve">, namely: how to share the </w:t>
      </w:r>
      <w:r w:rsidR="00FB6BC0">
        <w:rPr>
          <w:rFonts w:eastAsiaTheme="minorEastAsia"/>
          <w:lang w:eastAsia="zh-CN"/>
        </w:rPr>
        <w:t>HARQ ID across SPS/CG configurations</w:t>
      </w:r>
      <w:r w:rsidR="00EA527E">
        <w:rPr>
          <w:rFonts w:eastAsiaTheme="minorEastAsia"/>
          <w:lang w:eastAsia="zh-CN"/>
        </w:rPr>
        <w:t>.</w:t>
      </w:r>
    </w:p>
    <w:p w:rsidR="00EA527E" w:rsidRDefault="00EA527E" w:rsidP="00EA527E">
      <w:pPr>
        <w:pStyle w:val="a0"/>
        <w:rPr>
          <w:rFonts w:eastAsiaTheme="minorEastAsia"/>
          <w:lang w:eastAsia="zh-CN"/>
        </w:rPr>
      </w:pPr>
      <w:r>
        <w:rPr>
          <w:rFonts w:eastAsiaTheme="minorEastAsia"/>
          <w:lang w:eastAsia="zh-CN"/>
        </w:rPr>
        <w:t>Moreover one other MAC-specific aspect of supporting multiple active c</w:t>
      </w:r>
      <w:r w:rsidR="00FB6BC0">
        <w:rPr>
          <w:rFonts w:eastAsiaTheme="minorEastAsia"/>
          <w:lang w:eastAsia="zh-CN"/>
        </w:rPr>
        <w:t>onfigured grant</w:t>
      </w:r>
      <w:r>
        <w:rPr>
          <w:rFonts w:eastAsiaTheme="minorEastAsia"/>
          <w:lang w:eastAsia="zh-CN"/>
        </w:rPr>
        <w:t>s is the need to upgrade the Configured Grant Confirmation MAC CE.</w:t>
      </w:r>
    </w:p>
    <w:p w:rsidR="00FB6BC0" w:rsidRDefault="00EA527E" w:rsidP="00EA527E">
      <w:pPr>
        <w:pStyle w:val="a0"/>
        <w:rPr>
          <w:rFonts w:eastAsiaTheme="minorEastAsia"/>
          <w:lang w:eastAsia="zh-CN"/>
        </w:rPr>
      </w:pPr>
      <w:r>
        <w:rPr>
          <w:rFonts w:eastAsiaTheme="minorEastAsia"/>
          <w:lang w:eastAsia="zh-CN"/>
        </w:rPr>
        <w:t xml:space="preserve">We address both issues in this contribution. </w:t>
      </w:r>
    </w:p>
    <w:bookmarkEnd w:id="4"/>
    <w:bookmarkEnd w:id="5"/>
    <w:p w:rsidR="00E3725B" w:rsidRDefault="00E3725B" w:rsidP="00E3725B">
      <w:pPr>
        <w:pStyle w:val="1"/>
        <w:jc w:val="both"/>
      </w:pPr>
      <w:r w:rsidRPr="00AA54B6">
        <w:rPr>
          <w:rFonts w:hint="eastAsia"/>
        </w:rPr>
        <w:t>Discussion</w:t>
      </w:r>
    </w:p>
    <w:p w:rsidR="00153ADA" w:rsidRPr="00C414FE" w:rsidRDefault="00C414FE" w:rsidP="00B16840">
      <w:pPr>
        <w:pStyle w:val="20"/>
        <w:ind w:left="562" w:hanging="562"/>
        <w:rPr>
          <w:lang w:val="it-IT"/>
        </w:rPr>
      </w:pPr>
      <w:r w:rsidRPr="00C414FE">
        <w:rPr>
          <w:lang w:val="it-IT"/>
        </w:rPr>
        <w:t>HARQ ID Sharing Across SPS/CG configurations</w:t>
      </w:r>
    </w:p>
    <w:p w:rsidR="00DA458B" w:rsidRDefault="00DA458B" w:rsidP="00DA458B">
      <w:pPr>
        <w:pStyle w:val="a0"/>
        <w:rPr>
          <w:rFonts w:eastAsiaTheme="minorEastAsia"/>
          <w:lang w:val="en-GB" w:eastAsia="zh-CN"/>
        </w:rPr>
      </w:pPr>
      <w:r>
        <w:rPr>
          <w:rFonts w:eastAsiaTheme="minorEastAsia"/>
          <w:lang w:val="en-GB" w:eastAsia="zh-CN"/>
        </w:rPr>
        <w:t>According to the current specification, the HARQ ID for SPS/CG configuration is calculated based on the current slot or symbol, periodicity of the configured grant/SPS and number of the HARQ processes reserved for the CG/SPS. Take uplink HARQ ID calculation as one example:</w:t>
      </w:r>
    </w:p>
    <w:p w:rsidR="00DA458B" w:rsidRDefault="00DA458B" w:rsidP="00DA458B">
      <w:pPr>
        <w:pStyle w:val="a0"/>
        <w:rPr>
          <w:rFonts w:eastAsiaTheme="minorEastAsia"/>
          <w:lang w:val="en-GB" w:eastAsia="zh-CN"/>
        </w:rPr>
      </w:pPr>
      <w:r>
        <w:rPr>
          <w:rFonts w:eastAsiaTheme="minorEastAsia"/>
          <w:lang w:val="en-GB" w:eastAsia="zh-CN"/>
        </w:rPr>
        <w:t>HARQ ID = [floor (current symbol/</w:t>
      </w:r>
      <w:r>
        <w:rPr>
          <w:rFonts w:eastAsiaTheme="minorEastAsia"/>
          <w:i/>
          <w:lang w:val="en-GB" w:eastAsia="zh-CN"/>
        </w:rPr>
        <w:t>periodicity</w:t>
      </w:r>
      <w:r>
        <w:rPr>
          <w:rFonts w:eastAsiaTheme="minorEastAsia"/>
          <w:lang w:val="en-GB" w:eastAsia="zh-CN"/>
        </w:rPr>
        <w:t xml:space="preserve">)] module </w:t>
      </w:r>
      <w:proofErr w:type="spellStart"/>
      <w:r>
        <w:rPr>
          <w:i/>
          <w:lang w:eastAsia="ko-KR"/>
        </w:rPr>
        <w:t>nrofHARQ</w:t>
      </w:r>
      <w:proofErr w:type="spellEnd"/>
      <w:r>
        <w:rPr>
          <w:i/>
          <w:lang w:eastAsia="ko-KR"/>
        </w:rPr>
        <w:t>-Processes</w:t>
      </w:r>
      <w:r>
        <w:rPr>
          <w:rFonts w:eastAsiaTheme="minorEastAsia"/>
          <w:lang w:val="en-GB" w:eastAsia="zh-CN"/>
        </w:rPr>
        <w:t>. (1)</w:t>
      </w:r>
    </w:p>
    <w:p w:rsidR="00DA458B" w:rsidRDefault="00DA458B" w:rsidP="00DA458B">
      <w:pPr>
        <w:pStyle w:val="a0"/>
        <w:rPr>
          <w:rFonts w:eastAsiaTheme="minorEastAsia"/>
          <w:lang w:val="en-GB" w:eastAsia="zh-CN"/>
        </w:rPr>
      </w:pPr>
      <w:r>
        <w:rPr>
          <w:rFonts w:eastAsiaTheme="minorEastAsia"/>
          <w:lang w:val="en-GB" w:eastAsia="zh-CN"/>
        </w:rPr>
        <w:t xml:space="preserve">According to the equation, HARQ process collision will occur when configured grants resources from different configurations overlap as e.g. in </w:t>
      </w:r>
      <w:r>
        <w:rPr>
          <w:rFonts w:eastAsiaTheme="minorEastAsia"/>
          <w:lang w:val="en-GB" w:eastAsia="zh-CN"/>
        </w:rPr>
        <w:fldChar w:fldCharType="begin"/>
      </w:r>
      <w:r>
        <w:rPr>
          <w:rFonts w:eastAsiaTheme="minorEastAsia"/>
          <w:lang w:val="en-GB" w:eastAsia="zh-CN"/>
        </w:rPr>
        <w:instrText xml:space="preserve"> REF _Ref704296 \h  \* MERGEFORMAT </w:instrText>
      </w:r>
      <w:r>
        <w:rPr>
          <w:rFonts w:eastAsiaTheme="minorEastAsia"/>
          <w:lang w:val="en-GB" w:eastAsia="zh-CN"/>
        </w:rPr>
      </w:r>
      <w:r>
        <w:rPr>
          <w:rFonts w:eastAsiaTheme="minorEastAsia"/>
          <w:lang w:val="en-GB" w:eastAsia="zh-CN"/>
        </w:rPr>
        <w:fldChar w:fldCharType="separate"/>
      </w:r>
      <w:r w:rsidR="004451CF" w:rsidRPr="00445FD6">
        <w:t xml:space="preserve">Figure </w:t>
      </w:r>
      <w:r w:rsidR="004451CF" w:rsidRPr="00445FD6">
        <w:rPr>
          <w:noProof/>
        </w:rPr>
        <w:t>1</w:t>
      </w:r>
      <w:r>
        <w:rPr>
          <w:rFonts w:eastAsiaTheme="minorEastAsia"/>
          <w:lang w:val="en-GB" w:eastAsia="zh-CN"/>
        </w:rPr>
        <w:fldChar w:fldCharType="end"/>
      </w:r>
      <w:r>
        <w:rPr>
          <w:rFonts w:eastAsiaTheme="minorEastAsia"/>
          <w:lang w:val="en-GB" w:eastAsia="zh-CN"/>
        </w:rPr>
        <w:t>. And the same observation holds for multiple active SPS configurations with different periodicities. It could be envisioned though that a same HARQ process is shared by two configurations since, in the end, one allocation will take priority over the other, and only one will be transmitted. However, HARQ process sharing between two SPS/CG configurations implies:</w:t>
      </w:r>
    </w:p>
    <w:p w:rsidR="00DA458B" w:rsidRDefault="00DA458B" w:rsidP="00DA458B">
      <w:pPr>
        <w:pStyle w:val="a0"/>
        <w:numPr>
          <w:ilvl w:val="0"/>
          <w:numId w:val="19"/>
        </w:numPr>
        <w:rPr>
          <w:rFonts w:eastAsiaTheme="minorEastAsia"/>
          <w:lang w:val="en-GB" w:eastAsia="zh-CN"/>
        </w:rPr>
      </w:pPr>
      <w:r>
        <w:rPr>
          <w:rFonts w:eastAsiaTheme="minorEastAsia"/>
          <w:lang w:val="en-GB" w:eastAsia="zh-CN"/>
        </w:rPr>
        <w:lastRenderedPageBreak/>
        <w:t xml:space="preserve">Maintaining multiple </w:t>
      </w:r>
      <w:proofErr w:type="spellStart"/>
      <w:r>
        <w:rPr>
          <w:i/>
          <w:iCs/>
          <w:szCs w:val="20"/>
        </w:rPr>
        <w:t>configuredGrantTimer</w:t>
      </w:r>
      <w:proofErr w:type="spellEnd"/>
      <w:r>
        <w:rPr>
          <w:iCs/>
          <w:szCs w:val="20"/>
        </w:rPr>
        <w:t xml:space="preserve"> values, i.e. one per configured grant configuration. Indeed this would be required to prevent a (long) timer of a configured grant configuration with large periodicity to block a configured grant resource of another CG configuration with small periodicity.</w:t>
      </w:r>
    </w:p>
    <w:p w:rsidR="00DA458B" w:rsidRDefault="00DA458B" w:rsidP="00DA458B">
      <w:pPr>
        <w:pStyle w:val="a0"/>
        <w:numPr>
          <w:ilvl w:val="0"/>
          <w:numId w:val="19"/>
        </w:numPr>
        <w:rPr>
          <w:rFonts w:eastAsiaTheme="minorEastAsia"/>
          <w:lang w:val="en-GB" w:eastAsia="zh-CN"/>
        </w:rPr>
      </w:pPr>
      <w:r>
        <w:rPr>
          <w:rFonts w:eastAsiaTheme="minorEastAsia"/>
          <w:lang w:val="en-GB" w:eastAsia="zh-CN"/>
        </w:rPr>
        <w:t>MAC PDU overriding in HARQ buffer: for example a first CG1 for a high-priority TSN stream uses HARQ process #k. And then comes right after that another CG2 (from another CG configuration) with same HARQ process #k, targeted for a lower priority stream/</w:t>
      </w:r>
      <w:proofErr w:type="spellStart"/>
      <w:r>
        <w:rPr>
          <w:rFonts w:eastAsiaTheme="minorEastAsia"/>
          <w:lang w:val="en-GB" w:eastAsia="zh-CN"/>
        </w:rPr>
        <w:t>QoS</w:t>
      </w:r>
      <w:proofErr w:type="spellEnd"/>
      <w:r>
        <w:rPr>
          <w:rFonts w:eastAsiaTheme="minorEastAsia"/>
          <w:lang w:val="en-GB" w:eastAsia="zh-CN"/>
        </w:rPr>
        <w:t xml:space="preserve"> flow/DRB. Note their resources didn’t collide, so no need for any prioritization. MAC PDU from CG2 will override MAC PDU from CG1 in HARQ buffer. Then </w:t>
      </w:r>
      <w:proofErr w:type="gramStart"/>
      <w:r>
        <w:rPr>
          <w:rFonts w:eastAsiaTheme="minorEastAsia"/>
          <w:lang w:val="en-GB" w:eastAsia="zh-CN"/>
        </w:rPr>
        <w:t>comes</w:t>
      </w:r>
      <w:proofErr w:type="gramEnd"/>
      <w:r>
        <w:rPr>
          <w:rFonts w:eastAsiaTheme="minorEastAsia"/>
          <w:lang w:val="en-GB" w:eastAsia="zh-CN"/>
        </w:rPr>
        <w:t xml:space="preserve"> a re-transmission request for the MAC PDU from CG1, i.e. for the high-priority TSN stream. But the MAC PDU is no longer in the HARQ buffer.  This issue was discussed extensively in Rel-15 in the context of Msg3 HARQ process and should be definitely avoided.</w:t>
      </w:r>
    </w:p>
    <w:p w:rsidR="000118F7" w:rsidRDefault="000118F7" w:rsidP="00445FD6">
      <w:pPr>
        <w:pStyle w:val="a0"/>
        <w:ind w:left="720"/>
        <w:jc w:val="center"/>
        <w:rPr>
          <w:rFonts w:eastAsiaTheme="minorEastAsia"/>
          <w:lang w:eastAsia="zh-CN"/>
        </w:rPr>
      </w:pPr>
      <w:r>
        <w:object w:dxaOrig="6439" w:dyaOrig="1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88.85pt" o:ole="">
            <v:imagedata r:id="rId9" o:title=""/>
          </v:shape>
          <o:OLEObject Type="Embed" ProgID="Visio.Drawing.11" ShapeID="_x0000_i1025" DrawAspect="Content" ObjectID="_1615365047" r:id="rId10"/>
        </w:object>
      </w:r>
    </w:p>
    <w:p w:rsidR="000118F7" w:rsidRPr="006B7561" w:rsidRDefault="000118F7" w:rsidP="00445FD6">
      <w:pPr>
        <w:pStyle w:val="a5"/>
        <w:ind w:left="720"/>
        <w:jc w:val="center"/>
        <w:rPr>
          <w:rFonts w:eastAsiaTheme="minorEastAsia"/>
          <w:b/>
          <w:lang w:eastAsia="zh-CN"/>
        </w:rPr>
      </w:pPr>
      <w:bookmarkStart w:id="6" w:name="_Ref704296"/>
      <w:bookmarkStart w:id="7" w:name="_Ref701728"/>
      <w:bookmarkStart w:id="8" w:name="_Ref701722"/>
      <w:r w:rsidRPr="006B7561">
        <w:rPr>
          <w:b/>
        </w:rPr>
        <w:t xml:space="preserve">Figure </w:t>
      </w:r>
      <w:r w:rsidRPr="006B7561">
        <w:rPr>
          <w:b/>
        </w:rPr>
        <w:fldChar w:fldCharType="begin"/>
      </w:r>
      <w:r w:rsidRPr="006B7561">
        <w:rPr>
          <w:b/>
        </w:rPr>
        <w:instrText xml:space="preserve"> SEQ Figure \* ARABIC </w:instrText>
      </w:r>
      <w:r w:rsidRPr="006B7561">
        <w:rPr>
          <w:b/>
        </w:rPr>
        <w:fldChar w:fldCharType="separate"/>
      </w:r>
      <w:r>
        <w:rPr>
          <w:b/>
          <w:noProof/>
        </w:rPr>
        <w:t>1</w:t>
      </w:r>
      <w:r w:rsidRPr="006B7561">
        <w:rPr>
          <w:b/>
        </w:rPr>
        <w:fldChar w:fldCharType="end"/>
      </w:r>
      <w:bookmarkEnd w:id="6"/>
      <w:bookmarkEnd w:id="7"/>
      <w:r w:rsidRPr="006B7561">
        <w:rPr>
          <w:b/>
        </w:rPr>
        <w:t>:</w:t>
      </w:r>
      <w:r w:rsidRPr="000D5238">
        <w:rPr>
          <w:rFonts w:eastAsiaTheme="minorEastAsia" w:hint="eastAsia"/>
          <w:b/>
          <w:lang w:eastAsia="zh-CN"/>
        </w:rPr>
        <w:t xml:space="preserve"> Example</w:t>
      </w:r>
      <w:r w:rsidRPr="00BA4F07">
        <w:rPr>
          <w:rFonts w:eastAsiaTheme="minorEastAsia" w:hint="eastAsia"/>
          <w:b/>
          <w:lang w:eastAsia="zh-CN"/>
        </w:rPr>
        <w:t xml:space="preserve"> for multiple </w:t>
      </w:r>
      <w:r w:rsidRPr="00BA4F07">
        <w:rPr>
          <w:rFonts w:eastAsiaTheme="minorEastAsia"/>
          <w:b/>
          <w:lang w:eastAsia="zh-CN"/>
        </w:rPr>
        <w:t>SPS/CG</w:t>
      </w:r>
      <w:r w:rsidRPr="00A91077">
        <w:rPr>
          <w:rFonts w:eastAsiaTheme="minorEastAsia" w:hint="eastAsia"/>
          <w:b/>
          <w:lang w:eastAsia="zh-CN"/>
        </w:rPr>
        <w:t xml:space="preserve"> configurations for </w:t>
      </w:r>
      <w:r w:rsidRPr="00795E5D">
        <w:rPr>
          <w:rFonts w:eastAsiaTheme="minorEastAsia"/>
          <w:b/>
          <w:lang w:eastAsia="zh-CN"/>
        </w:rPr>
        <w:t>d</w:t>
      </w:r>
      <w:r w:rsidRPr="0079159B">
        <w:rPr>
          <w:rFonts w:eastAsiaTheme="minorEastAsia"/>
          <w:b/>
          <w:lang w:eastAsia="zh-CN"/>
        </w:rPr>
        <w:t xml:space="preserve">ifferent services/traffic </w:t>
      </w:r>
      <w:r w:rsidRPr="006B7561">
        <w:rPr>
          <w:rFonts w:eastAsiaTheme="minorEastAsia"/>
          <w:b/>
          <w:lang w:eastAsia="zh-CN"/>
        </w:rPr>
        <w:t>types</w:t>
      </w:r>
      <w:bookmarkEnd w:id="8"/>
    </w:p>
    <w:p w:rsidR="00DA458B" w:rsidRDefault="00796469" w:rsidP="00796469">
      <w:pPr>
        <w:pStyle w:val="a5"/>
        <w:rPr>
          <w:rFonts w:eastAsiaTheme="minorEastAsia"/>
          <w:b/>
          <w:lang w:eastAsia="zh-CN"/>
        </w:rPr>
      </w:pPr>
      <w:bookmarkStart w:id="9" w:name="_Toc4752102"/>
      <w:r w:rsidRPr="00796469">
        <w:rPr>
          <w:b/>
        </w:rPr>
        <w:t xml:space="preserve">Proposal </w:t>
      </w:r>
      <w:r w:rsidRPr="00796469">
        <w:rPr>
          <w:b/>
        </w:rPr>
        <w:fldChar w:fldCharType="begin"/>
      </w:r>
      <w:r w:rsidRPr="00796469">
        <w:rPr>
          <w:b/>
        </w:rPr>
        <w:instrText xml:space="preserve"> SEQ Proposal \* ARABIC </w:instrText>
      </w:r>
      <w:r w:rsidRPr="00796469">
        <w:rPr>
          <w:b/>
        </w:rPr>
        <w:fldChar w:fldCharType="separate"/>
      </w:r>
      <w:r w:rsidR="008423D4">
        <w:rPr>
          <w:b/>
          <w:noProof/>
        </w:rPr>
        <w:t>1</w:t>
      </w:r>
      <w:r w:rsidRPr="00796469">
        <w:rPr>
          <w:b/>
        </w:rPr>
        <w:fldChar w:fldCharType="end"/>
      </w:r>
      <w:r w:rsidRPr="00796469">
        <w:rPr>
          <w:rFonts w:hint="eastAsia"/>
          <w:b/>
          <w:lang w:eastAsia="zh-CN"/>
        </w:rPr>
        <w:t xml:space="preserve">: </w:t>
      </w:r>
      <w:r w:rsidR="00DA458B">
        <w:rPr>
          <w:rFonts w:eastAsiaTheme="minorEastAsia"/>
          <w:b/>
          <w:lang w:eastAsia="zh-CN"/>
        </w:rPr>
        <w:t>Multiple active SPS/CG configurations per BWP shall not share a same HARQ process</w:t>
      </w:r>
      <w:r w:rsidR="008423D4">
        <w:rPr>
          <w:rFonts w:eastAsiaTheme="minorEastAsia" w:hint="eastAsia"/>
          <w:b/>
          <w:lang w:eastAsia="zh-CN"/>
        </w:rPr>
        <w:t>.</w:t>
      </w:r>
      <w:bookmarkEnd w:id="9"/>
    </w:p>
    <w:p w:rsidR="00DA458B" w:rsidRDefault="00DA458B" w:rsidP="00DA458B">
      <w:pPr>
        <w:pStyle w:val="a0"/>
        <w:rPr>
          <w:rFonts w:eastAsiaTheme="minorEastAsia"/>
          <w:lang w:eastAsia="zh-CN"/>
        </w:rPr>
      </w:pPr>
      <w:r>
        <w:rPr>
          <w:rFonts w:eastAsiaTheme="minorEastAsia"/>
          <w:lang w:eastAsia="zh-CN"/>
        </w:rPr>
        <w:t xml:space="preserve">One possible solution can be to introduce other parameters to the HARQ ID calculation for multiple configured grant configurations. In HRLLC of LTE, the same issue was also discussed, and one new parameter named </w:t>
      </w:r>
      <w:proofErr w:type="spellStart"/>
      <w:r>
        <w:rPr>
          <w:i/>
        </w:rPr>
        <w:t>harq</w:t>
      </w:r>
      <w:proofErr w:type="spellEnd"/>
      <w:r>
        <w:rPr>
          <w:i/>
        </w:rPr>
        <w:t>-</w:t>
      </w:r>
      <w:proofErr w:type="spellStart"/>
      <w:r>
        <w:rPr>
          <w:i/>
        </w:rPr>
        <w:t>ProcID</w:t>
      </w:r>
      <w:proofErr w:type="spellEnd"/>
      <w:r>
        <w:rPr>
          <w:i/>
        </w:rPr>
        <w:t>-offset</w:t>
      </w:r>
      <w:r>
        <w:t>,</w:t>
      </w:r>
      <w:r>
        <w:rPr>
          <w:rFonts w:eastAsiaTheme="minorEastAsia"/>
          <w:lang w:eastAsia="zh-CN"/>
        </w:rPr>
        <w:t xml:space="preserve"> is added to the equation of HARQ process ID [2]. The similar solutions can also be studied. For example, the HARQ ID can be calculated as:</w:t>
      </w:r>
    </w:p>
    <w:p w:rsidR="00DA458B" w:rsidRDefault="00DA458B" w:rsidP="00DA458B">
      <w:pPr>
        <w:pStyle w:val="a0"/>
        <w:rPr>
          <w:rFonts w:eastAsiaTheme="minorEastAsia"/>
          <w:lang w:val="en-GB" w:eastAsia="zh-CN"/>
        </w:rPr>
      </w:pPr>
      <w:r>
        <w:rPr>
          <w:rFonts w:eastAsiaTheme="minorEastAsia"/>
          <w:lang w:val="en-GB" w:eastAsia="zh-CN"/>
        </w:rPr>
        <w:t>HARQ ID = [floor (current symbol/</w:t>
      </w:r>
      <w:r>
        <w:rPr>
          <w:rFonts w:eastAsiaTheme="minorEastAsia"/>
          <w:i/>
          <w:lang w:val="en-GB" w:eastAsia="zh-CN"/>
        </w:rPr>
        <w:t>periodicity</w:t>
      </w:r>
      <w:r>
        <w:rPr>
          <w:rFonts w:eastAsiaTheme="minorEastAsia"/>
          <w:lang w:val="en-GB" w:eastAsia="zh-CN"/>
        </w:rPr>
        <w:t xml:space="preserve">) + </w:t>
      </w:r>
      <w:r>
        <w:rPr>
          <w:rFonts w:eastAsiaTheme="minorEastAsia"/>
          <w:i/>
          <w:color w:val="FF0000"/>
          <w:lang w:val="en-GB" w:eastAsia="zh-CN"/>
        </w:rPr>
        <w:t>Parameter</w:t>
      </w:r>
      <w:r>
        <w:rPr>
          <w:rFonts w:eastAsiaTheme="minorEastAsia"/>
          <w:lang w:val="en-GB" w:eastAsia="zh-CN"/>
        </w:rPr>
        <w:t xml:space="preserve">] module </w:t>
      </w:r>
      <w:proofErr w:type="spellStart"/>
      <w:r>
        <w:rPr>
          <w:i/>
          <w:lang w:eastAsia="ko-KR"/>
        </w:rPr>
        <w:t>nrofHARQ</w:t>
      </w:r>
      <w:proofErr w:type="spellEnd"/>
      <w:r>
        <w:rPr>
          <w:i/>
          <w:lang w:eastAsia="ko-KR"/>
        </w:rPr>
        <w:t>-Processes</w:t>
      </w:r>
      <w:r>
        <w:rPr>
          <w:rFonts w:eastAsiaTheme="minorEastAsia"/>
          <w:lang w:val="en-GB" w:eastAsia="zh-CN"/>
        </w:rPr>
        <w:t>. (2)</w:t>
      </w:r>
    </w:p>
    <w:p w:rsidR="00DA458B" w:rsidRDefault="00DA458B" w:rsidP="00DA458B">
      <w:pPr>
        <w:pStyle w:val="a0"/>
        <w:rPr>
          <w:rFonts w:eastAsiaTheme="minorEastAsia"/>
          <w:lang w:val="en-GB" w:eastAsia="zh-CN"/>
        </w:rPr>
      </w:pPr>
      <w:proofErr w:type="gramStart"/>
      <w:r>
        <w:rPr>
          <w:rFonts w:eastAsiaTheme="minorEastAsia"/>
          <w:lang w:val="en-GB" w:eastAsia="zh-CN"/>
        </w:rPr>
        <w:t>where</w:t>
      </w:r>
      <w:proofErr w:type="gramEnd"/>
      <w:r>
        <w:rPr>
          <w:rFonts w:eastAsiaTheme="minorEastAsia"/>
          <w:lang w:val="en-GB" w:eastAsia="zh-CN"/>
        </w:rPr>
        <w:t xml:space="preserve"> </w:t>
      </w:r>
      <w:r>
        <w:rPr>
          <w:rFonts w:eastAsiaTheme="minorEastAsia"/>
          <w:i/>
          <w:lang w:val="en-GB" w:eastAsia="zh-CN"/>
        </w:rPr>
        <w:t>Parameter</w:t>
      </w:r>
      <w:r>
        <w:rPr>
          <w:rFonts w:eastAsiaTheme="minorEastAsia"/>
          <w:lang w:val="en-GB" w:eastAsia="zh-CN"/>
        </w:rPr>
        <w:t xml:space="preserve"> can, for instance, refer to the configured grant configuration index which is assigned by the network.</w:t>
      </w:r>
    </w:p>
    <w:p w:rsidR="00DA458B" w:rsidRPr="008423D4" w:rsidRDefault="008423D4" w:rsidP="008423D4">
      <w:pPr>
        <w:pStyle w:val="a5"/>
        <w:rPr>
          <w:rFonts w:eastAsiaTheme="minorEastAsia"/>
          <w:b/>
          <w:lang w:eastAsia="zh-CN"/>
        </w:rPr>
      </w:pPr>
      <w:bookmarkStart w:id="10" w:name="_Toc4752103"/>
      <w:r w:rsidRPr="008423D4">
        <w:rPr>
          <w:b/>
        </w:rPr>
        <w:t xml:space="preserve">Proposal </w:t>
      </w:r>
      <w:r w:rsidRPr="008423D4">
        <w:rPr>
          <w:b/>
        </w:rPr>
        <w:fldChar w:fldCharType="begin"/>
      </w:r>
      <w:r w:rsidRPr="008423D4">
        <w:rPr>
          <w:b/>
        </w:rPr>
        <w:instrText xml:space="preserve"> SEQ Proposal \* ARABIC </w:instrText>
      </w:r>
      <w:r w:rsidRPr="008423D4">
        <w:rPr>
          <w:b/>
        </w:rPr>
        <w:fldChar w:fldCharType="separate"/>
      </w:r>
      <w:r w:rsidRPr="008423D4">
        <w:rPr>
          <w:b/>
          <w:noProof/>
        </w:rPr>
        <w:t>2</w:t>
      </w:r>
      <w:r w:rsidRPr="008423D4">
        <w:rPr>
          <w:b/>
        </w:rPr>
        <w:fldChar w:fldCharType="end"/>
      </w:r>
      <w:r w:rsidR="00BD08D4" w:rsidRPr="008423D4">
        <w:rPr>
          <w:rFonts w:hint="eastAsia"/>
          <w:b/>
          <w:lang w:eastAsia="zh-CN"/>
        </w:rPr>
        <w:t xml:space="preserve">: </w:t>
      </w:r>
      <w:r w:rsidR="00D44BA5" w:rsidRPr="008423D4">
        <w:rPr>
          <w:rFonts w:eastAsiaTheme="minorEastAsia" w:hint="eastAsia"/>
          <w:b/>
          <w:lang w:eastAsia="zh-CN"/>
        </w:rPr>
        <w:t xml:space="preserve">Study </w:t>
      </w:r>
      <w:r w:rsidR="00DA458B" w:rsidRPr="008423D4">
        <w:rPr>
          <w:rFonts w:eastAsiaTheme="minorEastAsia"/>
          <w:b/>
          <w:lang w:eastAsia="zh-CN"/>
        </w:rPr>
        <w:t>the</w:t>
      </w:r>
      <w:r w:rsidR="00D44BA5" w:rsidRPr="008423D4">
        <w:rPr>
          <w:rFonts w:eastAsiaTheme="minorEastAsia" w:hint="eastAsia"/>
          <w:b/>
          <w:lang w:eastAsia="zh-CN"/>
        </w:rPr>
        <w:t xml:space="preserve"> possible</w:t>
      </w:r>
      <w:r w:rsidR="00DA458B" w:rsidRPr="008423D4">
        <w:rPr>
          <w:rFonts w:eastAsiaTheme="minorEastAsia"/>
          <w:b/>
          <w:lang w:eastAsia="zh-CN"/>
        </w:rPr>
        <w:t xml:space="preserve"> solution</w:t>
      </w:r>
      <w:r w:rsidR="00D44BA5" w:rsidRPr="008423D4">
        <w:rPr>
          <w:rFonts w:eastAsiaTheme="minorEastAsia" w:hint="eastAsia"/>
          <w:b/>
          <w:lang w:eastAsia="zh-CN"/>
        </w:rPr>
        <w:t>s like</w:t>
      </w:r>
      <w:r w:rsidR="00DA458B" w:rsidRPr="008423D4">
        <w:rPr>
          <w:rFonts w:eastAsiaTheme="minorEastAsia"/>
          <w:b/>
          <w:lang w:eastAsia="zh-CN"/>
        </w:rPr>
        <w:t xml:space="preserve"> Equation (2) for HARQ process separation between different SPS/CG configurations.</w:t>
      </w:r>
      <w:bookmarkEnd w:id="10"/>
    </w:p>
    <w:p w:rsidR="00921B35" w:rsidRDefault="00472AE1" w:rsidP="00921B35">
      <w:pPr>
        <w:pStyle w:val="20"/>
        <w:ind w:left="562" w:hanging="562"/>
      </w:pPr>
      <w:r w:rsidRPr="00472AE1">
        <w:rPr>
          <w:lang w:val="it-IT"/>
        </w:rPr>
        <w:t>Configured Grant Confirmation MAC CE</w:t>
      </w:r>
    </w:p>
    <w:p w:rsidR="00472AE1" w:rsidRDefault="00472AE1" w:rsidP="00472AE1">
      <w:pPr>
        <w:pStyle w:val="a0"/>
        <w:rPr>
          <w:rFonts w:eastAsiaTheme="minorEastAsia"/>
          <w:lang w:eastAsia="zh-CN"/>
        </w:rPr>
      </w:pPr>
      <w:r>
        <w:rPr>
          <w:rFonts w:eastAsiaTheme="minorEastAsia"/>
          <w:lang w:eastAsia="zh-CN"/>
        </w:rPr>
        <w:t>According to the current specification, the UE will report Configured Grant Confirmation MAC CE to the network to indicate that the SPS/configured grant type 2 has been activated / deactivated. And since the MAC CE is fixed size of zero bits, no dedicated information of the configured grant configuration can be carried to the network. If multiple configured grant configurations of type 2 are activated / deactivated by the network, it is impossible to notify which configured grant configuration has been activated / deactivated to the network, i.e. the current format of the configured grant confirmation MAC CE can’t be used when multiple configured grant configuration of type 2 are simultaneously activated or deactivated.</w:t>
      </w:r>
    </w:p>
    <w:p w:rsidR="00472AE1" w:rsidRDefault="00472AE1" w:rsidP="00472AE1">
      <w:pPr>
        <w:pStyle w:val="a0"/>
        <w:rPr>
          <w:rFonts w:eastAsiaTheme="minorEastAsia"/>
          <w:lang w:eastAsia="zh-CN"/>
        </w:rPr>
      </w:pPr>
      <w:r>
        <w:rPr>
          <w:rFonts w:eastAsiaTheme="minorEastAsia"/>
          <w:lang w:eastAsia="zh-CN"/>
        </w:rPr>
        <w:t xml:space="preserve">One possible solution is to attach </w:t>
      </w:r>
      <w:r w:rsidR="007208BD">
        <w:rPr>
          <w:rFonts w:eastAsiaTheme="minorEastAsia"/>
          <w:lang w:eastAsia="zh-CN"/>
        </w:rPr>
        <w:t xml:space="preserve">some </w:t>
      </w:r>
      <w:r>
        <w:rPr>
          <w:rFonts w:eastAsiaTheme="minorEastAsia"/>
          <w:lang w:eastAsia="zh-CN"/>
        </w:rPr>
        <w:t xml:space="preserve">configured grant configuration related information to the MAC CE, for example the index of the configured grant configuration. Meanwhile, one new LCID can also be introduced to distinguish which one is used for single configured grant configuration and which one is used for multiple configured grant configurations. </w:t>
      </w:r>
    </w:p>
    <w:p w:rsidR="00472AE1" w:rsidRDefault="00BD08D4" w:rsidP="00BD08D4">
      <w:pPr>
        <w:pStyle w:val="a5"/>
        <w:jc w:val="both"/>
        <w:rPr>
          <w:rFonts w:eastAsiaTheme="minorEastAsia"/>
          <w:b/>
          <w:lang w:eastAsia="zh-CN"/>
        </w:rPr>
      </w:pPr>
      <w:bookmarkStart w:id="11" w:name="_Toc4752104"/>
      <w:r w:rsidRPr="00BD08D4">
        <w:rPr>
          <w:b/>
        </w:rPr>
        <w:t xml:space="preserve">Proposal </w:t>
      </w:r>
      <w:r w:rsidRPr="00BD08D4">
        <w:rPr>
          <w:b/>
        </w:rPr>
        <w:fldChar w:fldCharType="begin"/>
      </w:r>
      <w:r w:rsidRPr="00BD08D4">
        <w:rPr>
          <w:b/>
        </w:rPr>
        <w:instrText xml:space="preserve"> SEQ Proposal \* ARABIC </w:instrText>
      </w:r>
      <w:r w:rsidRPr="00BD08D4">
        <w:rPr>
          <w:b/>
        </w:rPr>
        <w:fldChar w:fldCharType="separate"/>
      </w:r>
      <w:r w:rsidR="008423D4">
        <w:rPr>
          <w:b/>
          <w:noProof/>
        </w:rPr>
        <w:t>3</w:t>
      </w:r>
      <w:r w:rsidRPr="00BD08D4">
        <w:rPr>
          <w:b/>
        </w:rPr>
        <w:fldChar w:fldCharType="end"/>
      </w:r>
      <w:r w:rsidRPr="00BD08D4">
        <w:rPr>
          <w:rFonts w:hint="eastAsia"/>
          <w:b/>
          <w:lang w:eastAsia="zh-CN"/>
        </w:rPr>
        <w:t>:</w:t>
      </w:r>
      <w:r>
        <w:rPr>
          <w:rFonts w:hint="eastAsia"/>
          <w:b/>
          <w:lang w:eastAsia="zh-CN"/>
        </w:rPr>
        <w:t xml:space="preserve"> </w:t>
      </w:r>
      <w:r w:rsidR="00472AE1">
        <w:rPr>
          <w:rFonts w:eastAsiaTheme="minorEastAsia"/>
          <w:b/>
          <w:lang w:eastAsia="zh-CN"/>
        </w:rPr>
        <w:t>Introduce configured grant configuration related information to the configured grant confirmation MAC CE.</w:t>
      </w:r>
      <w:bookmarkEnd w:id="11"/>
    </w:p>
    <w:p w:rsidR="004E50DD" w:rsidRPr="00113719" w:rsidRDefault="00BD08D4" w:rsidP="00BD08D4">
      <w:pPr>
        <w:pStyle w:val="a5"/>
        <w:rPr>
          <w:rFonts w:eastAsiaTheme="minorEastAsia"/>
          <w:b/>
          <w:lang w:eastAsia="zh-CN"/>
        </w:rPr>
      </w:pPr>
      <w:bookmarkStart w:id="12" w:name="_Toc4752105"/>
      <w:r w:rsidRPr="00BD08D4">
        <w:rPr>
          <w:b/>
        </w:rPr>
        <w:t xml:space="preserve">Proposal </w:t>
      </w:r>
      <w:r w:rsidRPr="00BD08D4">
        <w:rPr>
          <w:b/>
        </w:rPr>
        <w:fldChar w:fldCharType="begin"/>
      </w:r>
      <w:r w:rsidRPr="00BD08D4">
        <w:rPr>
          <w:b/>
        </w:rPr>
        <w:instrText xml:space="preserve"> SEQ Proposal \* ARABIC </w:instrText>
      </w:r>
      <w:r w:rsidRPr="00BD08D4">
        <w:rPr>
          <w:b/>
        </w:rPr>
        <w:fldChar w:fldCharType="separate"/>
      </w:r>
      <w:r w:rsidR="008423D4">
        <w:rPr>
          <w:b/>
          <w:noProof/>
        </w:rPr>
        <w:t>4</w:t>
      </w:r>
      <w:r w:rsidRPr="00BD08D4">
        <w:rPr>
          <w:b/>
        </w:rPr>
        <w:fldChar w:fldCharType="end"/>
      </w:r>
      <w:r w:rsidRPr="00BD08D4">
        <w:rPr>
          <w:rFonts w:hint="eastAsia"/>
          <w:b/>
          <w:lang w:eastAsia="zh-CN"/>
        </w:rPr>
        <w:t xml:space="preserve">: </w:t>
      </w:r>
      <w:r w:rsidR="00472AE1">
        <w:rPr>
          <w:rFonts w:eastAsiaTheme="minorEastAsia"/>
          <w:b/>
          <w:lang w:eastAsia="zh-CN"/>
        </w:rPr>
        <w:t xml:space="preserve">Define one new LCID to distinguish single and multiple configured grant </w:t>
      </w:r>
      <w:r w:rsidR="000A6FE8">
        <w:rPr>
          <w:rFonts w:eastAsiaTheme="minorEastAsia"/>
          <w:b/>
          <w:lang w:eastAsia="zh-CN"/>
        </w:rPr>
        <w:t>confirmation MAC CEs</w:t>
      </w:r>
      <w:r w:rsidR="00472AE1">
        <w:rPr>
          <w:rFonts w:eastAsiaTheme="minorEastAsia"/>
          <w:b/>
          <w:lang w:eastAsia="zh-CN"/>
        </w:rPr>
        <w:t>.</w:t>
      </w:r>
      <w:bookmarkEnd w:id="12"/>
    </w:p>
    <w:p w:rsidR="00E3725B" w:rsidRDefault="00E3725B" w:rsidP="00E3725B">
      <w:pPr>
        <w:pStyle w:val="1"/>
        <w:jc w:val="both"/>
      </w:pPr>
      <w:r>
        <w:lastRenderedPageBreak/>
        <w:t>Conclusion</w:t>
      </w:r>
    </w:p>
    <w:p w:rsidR="006716EC" w:rsidRDefault="006716EC" w:rsidP="006716EC">
      <w:pPr>
        <w:pStyle w:val="a0"/>
        <w:rPr>
          <w:rFonts w:eastAsiaTheme="minorEastAsia"/>
          <w:lang w:val="en-GB" w:eastAsia="zh-CN"/>
        </w:rPr>
      </w:pPr>
      <w:r>
        <w:rPr>
          <w:rFonts w:eastAsiaTheme="minorEastAsia"/>
          <w:lang w:eastAsia="zh-CN"/>
        </w:rPr>
        <w:t>In this document, further</w:t>
      </w:r>
      <w:r>
        <w:rPr>
          <w:rFonts w:eastAsiaTheme="minorEastAsia"/>
          <w:lang w:val="en-GB" w:eastAsia="zh-CN"/>
        </w:rPr>
        <w:t xml:space="preserve"> studies on multiple </w:t>
      </w:r>
      <w:r w:rsidR="00AA6AF6">
        <w:rPr>
          <w:rFonts w:eastAsiaTheme="minorEastAsia"/>
          <w:lang w:val="en-GB" w:eastAsia="zh-CN"/>
        </w:rPr>
        <w:t xml:space="preserve">SPS and </w:t>
      </w:r>
      <w:r>
        <w:rPr>
          <w:rFonts w:eastAsiaTheme="minorEastAsia"/>
          <w:lang w:val="en-GB" w:eastAsia="zh-CN"/>
        </w:rPr>
        <w:t>configured grant configurations are carried out, related issues are discussed and the following proposals are derived:</w:t>
      </w:r>
    </w:p>
    <w:p w:rsidR="008423D4" w:rsidRDefault="00BD08D4">
      <w:pPr>
        <w:pStyle w:val="af7"/>
        <w:tabs>
          <w:tab w:val="right" w:leader="dot" w:pos="8296"/>
        </w:tabs>
        <w:rPr>
          <w:rFonts w:asciiTheme="minorHAnsi" w:eastAsiaTheme="minorEastAsia" w:hAnsiTheme="minorHAnsi" w:cstheme="minorBidi"/>
          <w:noProof/>
          <w:kern w:val="2"/>
          <w:sz w:val="21"/>
          <w:szCs w:val="22"/>
          <w:lang w:eastAsia="zh-CN"/>
        </w:rPr>
      </w:pPr>
      <w:r>
        <w:rPr>
          <w:rFonts w:eastAsiaTheme="minorEastAsia"/>
          <w:bCs/>
        </w:rPr>
        <w:fldChar w:fldCharType="begin"/>
      </w:r>
      <w:r>
        <w:rPr>
          <w:rFonts w:eastAsiaTheme="minorEastAsia"/>
          <w:bCs/>
        </w:rPr>
        <w:instrText xml:space="preserve"> </w:instrText>
      </w:r>
      <w:r>
        <w:rPr>
          <w:rFonts w:eastAsiaTheme="minorEastAsia" w:hint="eastAsia"/>
          <w:bCs/>
        </w:rPr>
        <w:instrText>TOC \n \h \z \c "Proposal"</w:instrText>
      </w:r>
      <w:r>
        <w:rPr>
          <w:rFonts w:eastAsiaTheme="minorEastAsia"/>
          <w:bCs/>
        </w:rPr>
        <w:instrText xml:space="preserve"> </w:instrText>
      </w:r>
      <w:r>
        <w:rPr>
          <w:rFonts w:eastAsiaTheme="minorEastAsia"/>
          <w:bCs/>
        </w:rPr>
        <w:fldChar w:fldCharType="separate"/>
      </w:r>
      <w:hyperlink w:anchor="_Toc4752102" w:history="1">
        <w:r w:rsidR="008423D4" w:rsidRPr="00C70F6E">
          <w:rPr>
            <w:rStyle w:val="af1"/>
            <w:b/>
            <w:noProof/>
          </w:rPr>
          <w:t>Proposal 1</w:t>
        </w:r>
        <w:r w:rsidR="008423D4" w:rsidRPr="00C70F6E">
          <w:rPr>
            <w:rStyle w:val="af1"/>
            <w:b/>
            <w:noProof/>
            <w:lang w:eastAsia="zh-CN"/>
          </w:rPr>
          <w:t>: Multiple active SPS/CG configurations per BWP shall not share a same HARQ process.</w:t>
        </w:r>
      </w:hyperlink>
    </w:p>
    <w:p w:rsidR="008423D4" w:rsidRDefault="008423D4">
      <w:pPr>
        <w:pStyle w:val="af7"/>
        <w:tabs>
          <w:tab w:val="right" w:leader="dot" w:pos="8296"/>
        </w:tabs>
        <w:rPr>
          <w:rFonts w:asciiTheme="minorHAnsi" w:eastAsiaTheme="minorEastAsia" w:hAnsiTheme="minorHAnsi" w:cstheme="minorBidi"/>
          <w:noProof/>
          <w:kern w:val="2"/>
          <w:sz w:val="21"/>
          <w:szCs w:val="22"/>
          <w:lang w:eastAsia="zh-CN"/>
        </w:rPr>
      </w:pPr>
      <w:hyperlink w:anchor="_Toc4752103" w:history="1">
        <w:r w:rsidRPr="00C70F6E">
          <w:rPr>
            <w:rStyle w:val="af1"/>
            <w:b/>
            <w:noProof/>
          </w:rPr>
          <w:t>Proposal 2</w:t>
        </w:r>
        <w:r w:rsidRPr="00C70F6E">
          <w:rPr>
            <w:rStyle w:val="af1"/>
            <w:b/>
            <w:noProof/>
            <w:lang w:eastAsia="zh-CN"/>
          </w:rPr>
          <w:t>: Study the possible solutions like Equation (2) for HARQ process separation between different SPS/CG configurations.</w:t>
        </w:r>
      </w:hyperlink>
    </w:p>
    <w:p w:rsidR="008423D4" w:rsidRDefault="008423D4">
      <w:pPr>
        <w:pStyle w:val="af7"/>
        <w:tabs>
          <w:tab w:val="right" w:leader="dot" w:pos="8296"/>
        </w:tabs>
        <w:rPr>
          <w:rFonts w:asciiTheme="minorHAnsi" w:eastAsiaTheme="minorEastAsia" w:hAnsiTheme="minorHAnsi" w:cstheme="minorBidi"/>
          <w:noProof/>
          <w:kern w:val="2"/>
          <w:sz w:val="21"/>
          <w:szCs w:val="22"/>
          <w:lang w:eastAsia="zh-CN"/>
        </w:rPr>
      </w:pPr>
      <w:hyperlink w:anchor="_Toc4752104" w:history="1">
        <w:r w:rsidRPr="00C70F6E">
          <w:rPr>
            <w:rStyle w:val="af1"/>
            <w:b/>
            <w:noProof/>
          </w:rPr>
          <w:t>Proposal 3</w:t>
        </w:r>
        <w:r w:rsidRPr="00C70F6E">
          <w:rPr>
            <w:rStyle w:val="af1"/>
            <w:b/>
            <w:noProof/>
            <w:lang w:eastAsia="zh-CN"/>
          </w:rPr>
          <w:t>: Introduce configured grant configuration related information to the configured grant confirmation MAC CE.</w:t>
        </w:r>
      </w:hyperlink>
    </w:p>
    <w:p w:rsidR="008423D4" w:rsidRDefault="008423D4">
      <w:pPr>
        <w:pStyle w:val="af7"/>
        <w:tabs>
          <w:tab w:val="right" w:leader="dot" w:pos="8296"/>
        </w:tabs>
        <w:rPr>
          <w:rFonts w:asciiTheme="minorHAnsi" w:eastAsiaTheme="minorEastAsia" w:hAnsiTheme="minorHAnsi" w:cstheme="minorBidi"/>
          <w:noProof/>
          <w:kern w:val="2"/>
          <w:sz w:val="21"/>
          <w:szCs w:val="22"/>
          <w:lang w:eastAsia="zh-CN"/>
        </w:rPr>
      </w:pPr>
      <w:hyperlink w:anchor="_Toc4752105" w:history="1">
        <w:r w:rsidRPr="00C70F6E">
          <w:rPr>
            <w:rStyle w:val="af1"/>
            <w:b/>
            <w:noProof/>
          </w:rPr>
          <w:t>Proposal 4</w:t>
        </w:r>
        <w:r w:rsidRPr="00C70F6E">
          <w:rPr>
            <w:rStyle w:val="af1"/>
            <w:b/>
            <w:noProof/>
            <w:lang w:eastAsia="zh-CN"/>
          </w:rPr>
          <w:t>: Define one new LCID to distinguish single and multiple configured grant confirmation MAC CEs.</w:t>
        </w:r>
      </w:hyperlink>
      <w:bookmarkStart w:id="13" w:name="_GoBack"/>
      <w:bookmarkEnd w:id="13"/>
    </w:p>
    <w:p w:rsidR="001A3832" w:rsidRDefault="00BD08D4" w:rsidP="00FC27DB">
      <w:pPr>
        <w:pStyle w:val="1"/>
        <w:jc w:val="both"/>
      </w:pPr>
      <w:r>
        <w:rPr>
          <w:rFonts w:ascii="Times New Roman" w:eastAsiaTheme="minorEastAsia" w:hAnsi="Times New Roman" w:cs="Times New Roman"/>
          <w:bCs w:val="0"/>
          <w:kern w:val="0"/>
          <w:sz w:val="20"/>
          <w:szCs w:val="24"/>
        </w:rPr>
        <w:fldChar w:fldCharType="end"/>
      </w:r>
      <w:r w:rsidR="001A3832">
        <w:rPr>
          <w:rFonts w:hint="eastAsia"/>
        </w:rPr>
        <w:t>Reference</w:t>
      </w:r>
    </w:p>
    <w:p w:rsidR="00E221D3" w:rsidRPr="006C1E01" w:rsidRDefault="007C4E79" w:rsidP="007C4E79">
      <w:pPr>
        <w:pStyle w:val="a0"/>
        <w:numPr>
          <w:ilvl w:val="0"/>
          <w:numId w:val="7"/>
        </w:numPr>
      </w:pPr>
      <w:bookmarkStart w:id="14" w:name="_Ref859876"/>
      <w:r>
        <w:rPr>
          <w:rFonts w:eastAsiaTheme="minorEastAsia" w:hint="eastAsia"/>
          <w:lang w:eastAsia="zh-CN"/>
        </w:rPr>
        <w:t xml:space="preserve">WID, </w:t>
      </w:r>
      <w:r w:rsidRPr="00D87E09">
        <w:rPr>
          <w:rFonts w:eastAsiaTheme="minorEastAsia"/>
          <w:lang w:eastAsia="zh-CN"/>
        </w:rPr>
        <w:t>RP-190728</w:t>
      </w:r>
      <w:r>
        <w:rPr>
          <w:rFonts w:eastAsiaTheme="minorEastAsia" w:hint="eastAsia"/>
          <w:lang w:eastAsia="zh-CN"/>
        </w:rPr>
        <w:t xml:space="preserve">, </w:t>
      </w:r>
      <w:r w:rsidRPr="005A3797">
        <w:t>New WID</w:t>
      </w:r>
      <w:r>
        <w:t>: S</w:t>
      </w:r>
      <w:r w:rsidRPr="005A3797">
        <w:t>upport of NR Industrial Internet of Things (</w:t>
      </w:r>
      <w:proofErr w:type="spellStart"/>
      <w:r w:rsidRPr="005A3797">
        <w:t>IoT</w:t>
      </w:r>
      <w:proofErr w:type="spellEnd"/>
      <w:r w:rsidRPr="00D87E09">
        <w:rPr>
          <w:rFonts w:eastAsiaTheme="minorEastAsia"/>
          <w:lang w:eastAsia="zh-CN"/>
        </w:rPr>
        <w:t>)</w:t>
      </w:r>
      <w:r>
        <w:rPr>
          <w:rFonts w:eastAsiaTheme="minorEastAsia" w:hint="eastAsia"/>
          <w:lang w:eastAsia="zh-CN"/>
        </w:rPr>
        <w:t xml:space="preserve">, </w:t>
      </w:r>
      <w:r w:rsidRPr="00D87E09">
        <w:rPr>
          <w:rFonts w:eastAsiaTheme="minorEastAsia"/>
          <w:lang w:eastAsia="zh-CN"/>
        </w:rPr>
        <w:t xml:space="preserve">Nokia, Nokia Shanghai </w:t>
      </w:r>
      <w:r w:rsidRPr="00D87E09">
        <w:t>Bell</w:t>
      </w:r>
      <w:r w:rsidRPr="00D87E09">
        <w:rPr>
          <w:rFonts w:hint="eastAsia"/>
        </w:rPr>
        <w:t xml:space="preserve">, </w:t>
      </w:r>
      <w:r w:rsidRPr="00D87E09">
        <w:t>3GPP TSG RAN Meeting #83</w:t>
      </w:r>
      <w:r w:rsidRPr="00D87E09">
        <w:rPr>
          <w:rFonts w:hint="eastAsia"/>
        </w:rPr>
        <w:t xml:space="preserve">, </w:t>
      </w:r>
      <w:r w:rsidRPr="00D87E09">
        <w:t>Shenzhen, China, March 18-21, 2019</w:t>
      </w:r>
      <w:r>
        <w:rPr>
          <w:rFonts w:eastAsiaTheme="minorEastAsia" w:hint="eastAsia"/>
          <w:lang w:eastAsia="zh-CN"/>
        </w:rPr>
        <w:t>;</w:t>
      </w:r>
      <w:bookmarkEnd w:id="14"/>
    </w:p>
    <w:p w:rsidR="006C1E01" w:rsidRPr="000613CB" w:rsidRDefault="002950E5" w:rsidP="007C4E79">
      <w:pPr>
        <w:pStyle w:val="a0"/>
        <w:numPr>
          <w:ilvl w:val="0"/>
          <w:numId w:val="7"/>
        </w:numPr>
        <w:rPr>
          <w:rFonts w:eastAsiaTheme="minorEastAsia"/>
          <w:lang w:eastAsia="zh-CN"/>
        </w:rPr>
      </w:pPr>
      <w:bookmarkStart w:id="15" w:name="_Ref4161220"/>
      <w:bookmarkStart w:id="16" w:name="_Ref4592160"/>
      <w:bookmarkEnd w:id="15"/>
      <w:r>
        <w:rPr>
          <w:rFonts w:eastAsiaTheme="minorEastAsia" w:hint="eastAsia"/>
          <w:lang w:eastAsia="zh-CN"/>
        </w:rPr>
        <w:t xml:space="preserve">WID, </w:t>
      </w:r>
      <w:r w:rsidRPr="000613CB">
        <w:rPr>
          <w:rFonts w:eastAsiaTheme="minorEastAsia"/>
          <w:lang w:eastAsia="zh-CN"/>
        </w:rPr>
        <w:t>RP-190726</w:t>
      </w:r>
      <w:r>
        <w:rPr>
          <w:rFonts w:eastAsiaTheme="minorEastAsia" w:hint="eastAsia"/>
          <w:lang w:eastAsia="zh-CN"/>
        </w:rPr>
        <w:t xml:space="preserve">, </w:t>
      </w:r>
      <w:r w:rsidRPr="000613CB">
        <w:rPr>
          <w:rFonts w:eastAsiaTheme="minorEastAsia"/>
          <w:lang w:eastAsia="zh-CN"/>
        </w:rPr>
        <w:t>New WID: Physical Layer Enhancements for NR</w:t>
      </w:r>
      <w:r w:rsidRPr="000613CB">
        <w:rPr>
          <w:rFonts w:eastAsiaTheme="minorEastAsia" w:hint="eastAsia"/>
          <w:lang w:eastAsia="zh-CN"/>
        </w:rPr>
        <w:t xml:space="preserve"> Ultra-Reliable and Low Latency Communication</w:t>
      </w:r>
      <w:r w:rsidRPr="000613CB">
        <w:rPr>
          <w:rFonts w:eastAsiaTheme="minorEastAsia"/>
          <w:lang w:eastAsia="zh-CN"/>
        </w:rPr>
        <w:t xml:space="preserve"> </w:t>
      </w:r>
      <w:r w:rsidRPr="000613CB">
        <w:rPr>
          <w:rFonts w:eastAsiaTheme="minorEastAsia" w:hint="eastAsia"/>
          <w:lang w:eastAsia="zh-CN"/>
        </w:rPr>
        <w:t>(</w:t>
      </w:r>
      <w:r w:rsidRPr="000613CB">
        <w:rPr>
          <w:rFonts w:eastAsiaTheme="minorEastAsia"/>
          <w:lang w:eastAsia="zh-CN"/>
        </w:rPr>
        <w:t>URLLC</w:t>
      </w:r>
      <w:r w:rsidRPr="000613CB">
        <w:rPr>
          <w:rFonts w:eastAsiaTheme="minorEastAsia" w:hint="eastAsia"/>
          <w:lang w:eastAsia="zh-CN"/>
        </w:rPr>
        <w:t>)</w:t>
      </w:r>
      <w:r w:rsidR="000613CB">
        <w:rPr>
          <w:rFonts w:eastAsiaTheme="minorEastAsia" w:hint="eastAsia"/>
          <w:lang w:eastAsia="zh-CN"/>
        </w:rPr>
        <w:t xml:space="preserve">, </w:t>
      </w:r>
      <w:r w:rsidR="000613CB" w:rsidRPr="000613CB">
        <w:rPr>
          <w:rFonts w:eastAsiaTheme="minorEastAsia"/>
          <w:lang w:eastAsia="zh-CN"/>
        </w:rPr>
        <w:t xml:space="preserve">Huawei, </w:t>
      </w:r>
      <w:proofErr w:type="spellStart"/>
      <w:r w:rsidR="000613CB" w:rsidRPr="000613CB">
        <w:rPr>
          <w:rFonts w:eastAsiaTheme="minorEastAsia"/>
          <w:lang w:eastAsia="zh-CN"/>
        </w:rPr>
        <w:t>HiSilicon</w:t>
      </w:r>
      <w:proofErr w:type="spellEnd"/>
      <w:r w:rsidR="000613CB">
        <w:rPr>
          <w:rFonts w:eastAsiaTheme="minorEastAsia" w:hint="eastAsia"/>
          <w:lang w:eastAsia="zh-CN"/>
        </w:rPr>
        <w:t xml:space="preserve">, </w:t>
      </w:r>
      <w:r w:rsidR="000613CB" w:rsidRPr="00D87E09">
        <w:t>3GPP TSG RAN Meeting #83</w:t>
      </w:r>
      <w:r w:rsidR="000613CB" w:rsidRPr="00D87E09">
        <w:rPr>
          <w:rFonts w:hint="eastAsia"/>
        </w:rPr>
        <w:t xml:space="preserve">, </w:t>
      </w:r>
      <w:r w:rsidR="000613CB" w:rsidRPr="00D87E09">
        <w:t>Shenzhen, China, March 18-21, 2019</w:t>
      </w:r>
      <w:r w:rsidR="000613CB">
        <w:rPr>
          <w:rFonts w:eastAsiaTheme="minorEastAsia" w:hint="eastAsia"/>
          <w:lang w:eastAsia="zh-CN"/>
        </w:rPr>
        <w:t>;</w:t>
      </w:r>
      <w:bookmarkEnd w:id="16"/>
    </w:p>
    <w:sectPr w:rsidR="006C1E01" w:rsidRPr="000613CB" w:rsidSect="00796469">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460" w:rsidRDefault="000B5460">
      <w:r>
        <w:separator/>
      </w:r>
    </w:p>
  </w:endnote>
  <w:endnote w:type="continuationSeparator" w:id="0">
    <w:p w:rsidR="000B5460" w:rsidRDefault="000B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8423D4">
      <w:rPr>
        <w:rStyle w:val="ae"/>
        <w:noProof/>
      </w:rPr>
      <w:t>3</w:t>
    </w:r>
    <w:r>
      <w:rPr>
        <w:rStyle w:val="ae"/>
      </w:rPr>
      <w:fldChar w:fldCharType="end"/>
    </w:r>
  </w:p>
  <w:p w:rsidR="004B3885" w:rsidRPr="00977F1F" w:rsidRDefault="004B3885" w:rsidP="00D2528A">
    <w:pPr>
      <w:pStyle w:val="ac"/>
      <w:tabs>
        <w:tab w:val="left" w:pos="2552"/>
      </w:tabs>
      <w:rPr>
        <w:rFonts w:eastAsia="宋体"/>
        <w:lang w:eastAsia="zh-CN"/>
      </w:rPr>
    </w:pPr>
    <w:r w:rsidRPr="00D2528A">
      <w:rPr>
        <w:rFonts w:eastAsia="宋体"/>
        <w:lang w:eastAsia="zh-CN"/>
      </w:rPr>
      <w:t>R2-</w:t>
    </w:r>
    <w:r w:rsidR="00280E33" w:rsidRPr="00D2528A">
      <w:rPr>
        <w:rFonts w:eastAsia="宋体"/>
        <w:lang w:eastAsia="zh-CN"/>
      </w:rPr>
      <w:t>1</w:t>
    </w:r>
    <w:r w:rsidR="00280E33">
      <w:rPr>
        <w:rFonts w:eastAsia="宋体"/>
        <w:lang w:eastAsia="zh-CN"/>
      </w:rPr>
      <w:t>90</w:t>
    </w:r>
    <w:r w:rsidR="00280E33">
      <w:rPr>
        <w:rFonts w:eastAsia="宋体" w:hint="eastAsia"/>
        <w:lang w:eastAsia="zh-CN"/>
      </w:rPr>
      <w:t>3149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460" w:rsidRDefault="000B5460">
      <w:r>
        <w:separator/>
      </w:r>
    </w:p>
  </w:footnote>
  <w:footnote w:type="continuationSeparator" w:id="0">
    <w:p w:rsidR="000B5460" w:rsidRDefault="000B5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C303FD"/>
    <w:multiLevelType w:val="hybridMultilevel"/>
    <w:tmpl w:val="542EB84C"/>
    <w:lvl w:ilvl="0" w:tplc="844248AC">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39711FE"/>
    <w:multiLevelType w:val="hybridMultilevel"/>
    <w:tmpl w:val="F51CE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E62B97"/>
    <w:multiLevelType w:val="hybridMultilevel"/>
    <w:tmpl w:val="1AEC2676"/>
    <w:lvl w:ilvl="0" w:tplc="DCF89BB6">
      <w:start w:val="1"/>
      <w:numFmt w:val="bullet"/>
      <w:lvlText w:val="•"/>
      <w:lvlJc w:val="left"/>
      <w:pPr>
        <w:tabs>
          <w:tab w:val="num" w:pos="360"/>
        </w:tabs>
        <w:ind w:left="360" w:hanging="360"/>
      </w:pPr>
      <w:rPr>
        <w:rFonts w:ascii="Arial" w:hAnsi="Arial" w:hint="default"/>
      </w:rPr>
    </w:lvl>
    <w:lvl w:ilvl="1" w:tplc="21644BBC">
      <w:start w:val="5731"/>
      <w:numFmt w:val="bullet"/>
      <w:lvlText w:val="•"/>
      <w:lvlJc w:val="left"/>
      <w:pPr>
        <w:tabs>
          <w:tab w:val="num" w:pos="1080"/>
        </w:tabs>
        <w:ind w:left="1080" w:hanging="360"/>
      </w:pPr>
      <w:rPr>
        <w:rFonts w:ascii="Arial" w:hAnsi="Arial" w:hint="default"/>
      </w:rPr>
    </w:lvl>
    <w:lvl w:ilvl="2" w:tplc="011E4FA4" w:tentative="1">
      <w:start w:val="1"/>
      <w:numFmt w:val="bullet"/>
      <w:lvlText w:val="•"/>
      <w:lvlJc w:val="left"/>
      <w:pPr>
        <w:tabs>
          <w:tab w:val="num" w:pos="1800"/>
        </w:tabs>
        <w:ind w:left="1800" w:hanging="360"/>
      </w:pPr>
      <w:rPr>
        <w:rFonts w:ascii="Arial" w:hAnsi="Arial" w:hint="default"/>
      </w:rPr>
    </w:lvl>
    <w:lvl w:ilvl="3" w:tplc="CFA69786" w:tentative="1">
      <w:start w:val="1"/>
      <w:numFmt w:val="bullet"/>
      <w:lvlText w:val="•"/>
      <w:lvlJc w:val="left"/>
      <w:pPr>
        <w:tabs>
          <w:tab w:val="num" w:pos="2520"/>
        </w:tabs>
        <w:ind w:left="2520" w:hanging="360"/>
      </w:pPr>
      <w:rPr>
        <w:rFonts w:ascii="Arial" w:hAnsi="Arial" w:hint="default"/>
      </w:rPr>
    </w:lvl>
    <w:lvl w:ilvl="4" w:tplc="8BD2A298" w:tentative="1">
      <w:start w:val="1"/>
      <w:numFmt w:val="bullet"/>
      <w:lvlText w:val="•"/>
      <w:lvlJc w:val="left"/>
      <w:pPr>
        <w:tabs>
          <w:tab w:val="num" w:pos="3240"/>
        </w:tabs>
        <w:ind w:left="3240" w:hanging="360"/>
      </w:pPr>
      <w:rPr>
        <w:rFonts w:ascii="Arial" w:hAnsi="Arial" w:hint="default"/>
      </w:rPr>
    </w:lvl>
    <w:lvl w:ilvl="5" w:tplc="4A809478" w:tentative="1">
      <w:start w:val="1"/>
      <w:numFmt w:val="bullet"/>
      <w:lvlText w:val="•"/>
      <w:lvlJc w:val="left"/>
      <w:pPr>
        <w:tabs>
          <w:tab w:val="num" w:pos="3960"/>
        </w:tabs>
        <w:ind w:left="3960" w:hanging="360"/>
      </w:pPr>
      <w:rPr>
        <w:rFonts w:ascii="Arial" w:hAnsi="Arial" w:hint="default"/>
      </w:rPr>
    </w:lvl>
    <w:lvl w:ilvl="6" w:tplc="43580976" w:tentative="1">
      <w:start w:val="1"/>
      <w:numFmt w:val="bullet"/>
      <w:lvlText w:val="•"/>
      <w:lvlJc w:val="left"/>
      <w:pPr>
        <w:tabs>
          <w:tab w:val="num" w:pos="4680"/>
        </w:tabs>
        <w:ind w:left="4680" w:hanging="360"/>
      </w:pPr>
      <w:rPr>
        <w:rFonts w:ascii="Arial" w:hAnsi="Arial" w:hint="default"/>
      </w:rPr>
    </w:lvl>
    <w:lvl w:ilvl="7" w:tplc="4E8E1766" w:tentative="1">
      <w:start w:val="1"/>
      <w:numFmt w:val="bullet"/>
      <w:lvlText w:val="•"/>
      <w:lvlJc w:val="left"/>
      <w:pPr>
        <w:tabs>
          <w:tab w:val="num" w:pos="5400"/>
        </w:tabs>
        <w:ind w:left="5400" w:hanging="360"/>
      </w:pPr>
      <w:rPr>
        <w:rFonts w:ascii="Arial" w:hAnsi="Arial" w:hint="default"/>
      </w:rPr>
    </w:lvl>
    <w:lvl w:ilvl="8" w:tplc="ED9ADDB4" w:tentative="1">
      <w:start w:val="1"/>
      <w:numFmt w:val="bullet"/>
      <w:lvlText w:val="•"/>
      <w:lvlJc w:val="left"/>
      <w:pPr>
        <w:tabs>
          <w:tab w:val="num" w:pos="6120"/>
        </w:tabs>
        <w:ind w:left="6120" w:hanging="360"/>
      </w:pPr>
      <w:rPr>
        <w:rFonts w:ascii="Arial" w:hAnsi="Arial" w:hint="default"/>
      </w:rPr>
    </w:lvl>
  </w:abstractNum>
  <w:abstractNum w:abstractNumId="5">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D427683"/>
    <w:multiLevelType w:val="hybridMultilevel"/>
    <w:tmpl w:val="7D6AF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842828"/>
    <w:multiLevelType w:val="hybridMultilevel"/>
    <w:tmpl w:val="BACE1C1C"/>
    <w:lvl w:ilvl="0" w:tplc="941A48F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1428D8"/>
    <w:multiLevelType w:val="hybridMultilevel"/>
    <w:tmpl w:val="2BBC1980"/>
    <w:lvl w:ilvl="0" w:tplc="A87ABF04">
      <w:start w:val="1"/>
      <w:numFmt w:val="bullet"/>
      <w:lvlText w:val="–"/>
      <w:lvlJc w:val="left"/>
      <w:pPr>
        <w:tabs>
          <w:tab w:val="num" w:pos="360"/>
        </w:tabs>
        <w:ind w:left="360" w:hanging="360"/>
      </w:pPr>
      <w:rPr>
        <w:rFonts w:ascii="Arial" w:hAnsi="Arial" w:hint="default"/>
      </w:rPr>
    </w:lvl>
    <w:lvl w:ilvl="1" w:tplc="9B7C5502">
      <w:start w:val="1"/>
      <w:numFmt w:val="bullet"/>
      <w:lvlText w:val="–"/>
      <w:lvlJc w:val="left"/>
      <w:pPr>
        <w:tabs>
          <w:tab w:val="num" w:pos="1080"/>
        </w:tabs>
        <w:ind w:left="1080" w:hanging="360"/>
      </w:pPr>
      <w:rPr>
        <w:rFonts w:ascii="Arial" w:hAnsi="Arial" w:hint="default"/>
      </w:rPr>
    </w:lvl>
    <w:lvl w:ilvl="2" w:tplc="BF8CF5D4">
      <w:start w:val="3592"/>
      <w:numFmt w:val="bullet"/>
      <w:lvlText w:val="•"/>
      <w:lvlJc w:val="left"/>
      <w:pPr>
        <w:tabs>
          <w:tab w:val="num" w:pos="1800"/>
        </w:tabs>
        <w:ind w:left="1800" w:hanging="360"/>
      </w:pPr>
      <w:rPr>
        <w:rFonts w:ascii="Arial" w:hAnsi="Arial" w:hint="default"/>
      </w:rPr>
    </w:lvl>
    <w:lvl w:ilvl="3" w:tplc="808AC17C">
      <w:start w:val="3592"/>
      <w:numFmt w:val="bullet"/>
      <w:lvlText w:val="–"/>
      <w:lvlJc w:val="left"/>
      <w:pPr>
        <w:tabs>
          <w:tab w:val="num" w:pos="2520"/>
        </w:tabs>
        <w:ind w:left="2520" w:hanging="360"/>
      </w:pPr>
      <w:rPr>
        <w:rFonts w:ascii="Arial" w:hAnsi="Arial" w:hint="default"/>
      </w:rPr>
    </w:lvl>
    <w:lvl w:ilvl="4" w:tplc="3FF888C8" w:tentative="1">
      <w:start w:val="1"/>
      <w:numFmt w:val="bullet"/>
      <w:lvlText w:val="–"/>
      <w:lvlJc w:val="left"/>
      <w:pPr>
        <w:tabs>
          <w:tab w:val="num" w:pos="3240"/>
        </w:tabs>
        <w:ind w:left="3240" w:hanging="360"/>
      </w:pPr>
      <w:rPr>
        <w:rFonts w:ascii="Arial" w:hAnsi="Arial" w:hint="default"/>
      </w:rPr>
    </w:lvl>
    <w:lvl w:ilvl="5" w:tplc="0A883EBC" w:tentative="1">
      <w:start w:val="1"/>
      <w:numFmt w:val="bullet"/>
      <w:lvlText w:val="–"/>
      <w:lvlJc w:val="left"/>
      <w:pPr>
        <w:tabs>
          <w:tab w:val="num" w:pos="3960"/>
        </w:tabs>
        <w:ind w:left="3960" w:hanging="360"/>
      </w:pPr>
      <w:rPr>
        <w:rFonts w:ascii="Arial" w:hAnsi="Arial" w:hint="default"/>
      </w:rPr>
    </w:lvl>
    <w:lvl w:ilvl="6" w:tplc="3C7479CE" w:tentative="1">
      <w:start w:val="1"/>
      <w:numFmt w:val="bullet"/>
      <w:lvlText w:val="–"/>
      <w:lvlJc w:val="left"/>
      <w:pPr>
        <w:tabs>
          <w:tab w:val="num" w:pos="4680"/>
        </w:tabs>
        <w:ind w:left="4680" w:hanging="360"/>
      </w:pPr>
      <w:rPr>
        <w:rFonts w:ascii="Arial" w:hAnsi="Arial" w:hint="default"/>
      </w:rPr>
    </w:lvl>
    <w:lvl w:ilvl="7" w:tplc="581E01EE" w:tentative="1">
      <w:start w:val="1"/>
      <w:numFmt w:val="bullet"/>
      <w:lvlText w:val="–"/>
      <w:lvlJc w:val="left"/>
      <w:pPr>
        <w:tabs>
          <w:tab w:val="num" w:pos="5400"/>
        </w:tabs>
        <w:ind w:left="5400" w:hanging="360"/>
      </w:pPr>
      <w:rPr>
        <w:rFonts w:ascii="Arial" w:hAnsi="Arial" w:hint="default"/>
      </w:rPr>
    </w:lvl>
    <w:lvl w:ilvl="8" w:tplc="53FAFF26" w:tentative="1">
      <w:start w:val="1"/>
      <w:numFmt w:val="bullet"/>
      <w:lvlText w:val="–"/>
      <w:lvlJc w:val="left"/>
      <w:pPr>
        <w:tabs>
          <w:tab w:val="num" w:pos="6120"/>
        </w:tabs>
        <w:ind w:left="6120" w:hanging="360"/>
      </w:pPr>
      <w:rPr>
        <w:rFonts w:ascii="Arial" w:hAnsi="Arial" w:hint="default"/>
      </w:rPr>
    </w:lvl>
  </w:abstractNum>
  <w:abstractNum w:abstractNumId="1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CEB6B78"/>
    <w:multiLevelType w:val="hybridMultilevel"/>
    <w:tmpl w:val="41AA7C2C"/>
    <w:lvl w:ilvl="0" w:tplc="CF64B058">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D497B0A"/>
    <w:multiLevelType w:val="hybridMultilevel"/>
    <w:tmpl w:val="105E51E0"/>
    <w:lvl w:ilvl="0" w:tplc="65AE4A10">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CC7242"/>
    <w:multiLevelType w:val="hybridMultilevel"/>
    <w:tmpl w:val="D7822BB6"/>
    <w:lvl w:ilvl="0" w:tplc="412C90FE">
      <w:start w:val="1"/>
      <w:numFmt w:val="decimal"/>
      <w:lvlText w:val="Proposal %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9"/>
  </w:num>
  <w:num w:numId="3">
    <w:abstractNumId w:val="11"/>
  </w:num>
  <w:num w:numId="4">
    <w:abstractNumId w:val="8"/>
  </w:num>
  <w:num w:numId="5">
    <w:abstractNumId w:val="22"/>
  </w:num>
  <w:num w:numId="6">
    <w:abstractNumId w:val="16"/>
  </w:num>
  <w:num w:numId="7">
    <w:abstractNumId w:val="12"/>
  </w:num>
  <w:num w:numId="8">
    <w:abstractNumId w:val="2"/>
  </w:num>
  <w:num w:numId="9">
    <w:abstractNumId w:val="21"/>
  </w:num>
  <w:num w:numId="10">
    <w:abstractNumId w:val="10"/>
  </w:num>
  <w:num w:numId="11">
    <w:abstractNumId w:val="0"/>
  </w:num>
  <w:num w:numId="12">
    <w:abstractNumId w:val="18"/>
  </w:num>
  <w:num w:numId="13">
    <w:abstractNumId w:val="4"/>
  </w:num>
  <w:num w:numId="14">
    <w:abstractNumId w:val="6"/>
  </w:num>
  <w:num w:numId="15">
    <w:abstractNumId w:val="9"/>
  </w:num>
  <w:num w:numId="16">
    <w:abstractNumId w:val="5"/>
  </w:num>
  <w:num w:numId="17">
    <w:abstractNumId w:val="14"/>
  </w:num>
  <w:num w:numId="18">
    <w:abstractNumId w:val="13"/>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5"/>
  </w:num>
  <w:num w:numId="22">
    <w:abstractNumId w:val="1"/>
  </w:num>
  <w:num w:numId="2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18F7"/>
    <w:rsid w:val="00012F65"/>
    <w:rsid w:val="000135B7"/>
    <w:rsid w:val="00013A2D"/>
    <w:rsid w:val="0001438C"/>
    <w:rsid w:val="000147AB"/>
    <w:rsid w:val="000155D8"/>
    <w:rsid w:val="00016121"/>
    <w:rsid w:val="00016AC6"/>
    <w:rsid w:val="00016CFA"/>
    <w:rsid w:val="00016D97"/>
    <w:rsid w:val="00016FE1"/>
    <w:rsid w:val="0001742C"/>
    <w:rsid w:val="00017718"/>
    <w:rsid w:val="00020773"/>
    <w:rsid w:val="0002102E"/>
    <w:rsid w:val="0002139B"/>
    <w:rsid w:val="0002195F"/>
    <w:rsid w:val="00022738"/>
    <w:rsid w:val="00022FB2"/>
    <w:rsid w:val="0002406C"/>
    <w:rsid w:val="00024075"/>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5108"/>
    <w:rsid w:val="000460EF"/>
    <w:rsid w:val="000466C6"/>
    <w:rsid w:val="00046D4B"/>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13CB"/>
    <w:rsid w:val="0006264B"/>
    <w:rsid w:val="00062933"/>
    <w:rsid w:val="00062FC2"/>
    <w:rsid w:val="00063FC5"/>
    <w:rsid w:val="00064119"/>
    <w:rsid w:val="00064769"/>
    <w:rsid w:val="00064EA4"/>
    <w:rsid w:val="0006550A"/>
    <w:rsid w:val="00066251"/>
    <w:rsid w:val="00066A60"/>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7266"/>
    <w:rsid w:val="000A078C"/>
    <w:rsid w:val="000A14E3"/>
    <w:rsid w:val="000A1E95"/>
    <w:rsid w:val="000A380C"/>
    <w:rsid w:val="000A488F"/>
    <w:rsid w:val="000A4A9E"/>
    <w:rsid w:val="000A55B8"/>
    <w:rsid w:val="000A5653"/>
    <w:rsid w:val="000A60DD"/>
    <w:rsid w:val="000A6FE8"/>
    <w:rsid w:val="000A74D4"/>
    <w:rsid w:val="000B0643"/>
    <w:rsid w:val="000B0C8C"/>
    <w:rsid w:val="000B3216"/>
    <w:rsid w:val="000B4996"/>
    <w:rsid w:val="000B5460"/>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C77D2"/>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719"/>
    <w:rsid w:val="00113A32"/>
    <w:rsid w:val="00114239"/>
    <w:rsid w:val="0011474F"/>
    <w:rsid w:val="00114951"/>
    <w:rsid w:val="00114C0D"/>
    <w:rsid w:val="00115CE3"/>
    <w:rsid w:val="0011635F"/>
    <w:rsid w:val="00116625"/>
    <w:rsid w:val="00116645"/>
    <w:rsid w:val="00116886"/>
    <w:rsid w:val="00116F48"/>
    <w:rsid w:val="0012078A"/>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0C6C"/>
    <w:rsid w:val="001318F6"/>
    <w:rsid w:val="00131C3F"/>
    <w:rsid w:val="0013215E"/>
    <w:rsid w:val="00133013"/>
    <w:rsid w:val="0013363D"/>
    <w:rsid w:val="00134DE3"/>
    <w:rsid w:val="00136678"/>
    <w:rsid w:val="001371FD"/>
    <w:rsid w:val="00137349"/>
    <w:rsid w:val="001378A7"/>
    <w:rsid w:val="00137A2F"/>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30"/>
    <w:rsid w:val="00153ADA"/>
    <w:rsid w:val="00153D16"/>
    <w:rsid w:val="001549F5"/>
    <w:rsid w:val="00157310"/>
    <w:rsid w:val="00157421"/>
    <w:rsid w:val="00157C75"/>
    <w:rsid w:val="00160047"/>
    <w:rsid w:val="001605FD"/>
    <w:rsid w:val="001606C2"/>
    <w:rsid w:val="00160A29"/>
    <w:rsid w:val="00160DB1"/>
    <w:rsid w:val="001632A1"/>
    <w:rsid w:val="00164894"/>
    <w:rsid w:val="00164943"/>
    <w:rsid w:val="0016521F"/>
    <w:rsid w:val="00165B2B"/>
    <w:rsid w:val="0016686F"/>
    <w:rsid w:val="00167D10"/>
    <w:rsid w:val="00170176"/>
    <w:rsid w:val="0017068B"/>
    <w:rsid w:val="00170FFA"/>
    <w:rsid w:val="0017106B"/>
    <w:rsid w:val="00171E5B"/>
    <w:rsid w:val="0017238F"/>
    <w:rsid w:val="001726A5"/>
    <w:rsid w:val="00172CA2"/>
    <w:rsid w:val="0017488C"/>
    <w:rsid w:val="00174982"/>
    <w:rsid w:val="00175355"/>
    <w:rsid w:val="001770AC"/>
    <w:rsid w:val="001770AD"/>
    <w:rsid w:val="001770B4"/>
    <w:rsid w:val="00177516"/>
    <w:rsid w:val="00177D25"/>
    <w:rsid w:val="00181E87"/>
    <w:rsid w:val="001822DB"/>
    <w:rsid w:val="001824D3"/>
    <w:rsid w:val="0018252A"/>
    <w:rsid w:val="001826BA"/>
    <w:rsid w:val="00183B67"/>
    <w:rsid w:val="0018472E"/>
    <w:rsid w:val="00186372"/>
    <w:rsid w:val="00186741"/>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42"/>
    <w:rsid w:val="001F6E7C"/>
    <w:rsid w:val="001F7F7A"/>
    <w:rsid w:val="00200147"/>
    <w:rsid w:val="0020399E"/>
    <w:rsid w:val="00204504"/>
    <w:rsid w:val="002046BA"/>
    <w:rsid w:val="002048B9"/>
    <w:rsid w:val="0020540C"/>
    <w:rsid w:val="002055F4"/>
    <w:rsid w:val="00205686"/>
    <w:rsid w:val="00205C65"/>
    <w:rsid w:val="002068BB"/>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5162"/>
    <w:rsid w:val="00225B86"/>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5C10"/>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0E33"/>
    <w:rsid w:val="00281791"/>
    <w:rsid w:val="002838FA"/>
    <w:rsid w:val="00286574"/>
    <w:rsid w:val="002870B3"/>
    <w:rsid w:val="002911A8"/>
    <w:rsid w:val="00291F06"/>
    <w:rsid w:val="002921FD"/>
    <w:rsid w:val="00292717"/>
    <w:rsid w:val="00292FFC"/>
    <w:rsid w:val="002935D4"/>
    <w:rsid w:val="00294534"/>
    <w:rsid w:val="002950E5"/>
    <w:rsid w:val="00295AA0"/>
    <w:rsid w:val="00295F92"/>
    <w:rsid w:val="00296892"/>
    <w:rsid w:val="00297474"/>
    <w:rsid w:val="00297960"/>
    <w:rsid w:val="002A02F1"/>
    <w:rsid w:val="002A1CAD"/>
    <w:rsid w:val="002A369D"/>
    <w:rsid w:val="002A50CB"/>
    <w:rsid w:val="002A5580"/>
    <w:rsid w:val="002A586A"/>
    <w:rsid w:val="002A5C7B"/>
    <w:rsid w:val="002A668B"/>
    <w:rsid w:val="002A6AC0"/>
    <w:rsid w:val="002A6EA3"/>
    <w:rsid w:val="002A6FD0"/>
    <w:rsid w:val="002A700D"/>
    <w:rsid w:val="002A773B"/>
    <w:rsid w:val="002A7F70"/>
    <w:rsid w:val="002B01A8"/>
    <w:rsid w:val="002B0640"/>
    <w:rsid w:val="002B0CF7"/>
    <w:rsid w:val="002B13BE"/>
    <w:rsid w:val="002B1909"/>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1B8"/>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12ED"/>
    <w:rsid w:val="002E21D0"/>
    <w:rsid w:val="002E2E46"/>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1FD"/>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1E9B"/>
    <w:rsid w:val="003227E6"/>
    <w:rsid w:val="00323005"/>
    <w:rsid w:val="003233EB"/>
    <w:rsid w:val="00323A97"/>
    <w:rsid w:val="00323C53"/>
    <w:rsid w:val="003247C2"/>
    <w:rsid w:val="00324B8E"/>
    <w:rsid w:val="00324ECE"/>
    <w:rsid w:val="00324FFA"/>
    <w:rsid w:val="00325078"/>
    <w:rsid w:val="0032556F"/>
    <w:rsid w:val="00325895"/>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94"/>
    <w:rsid w:val="00350BFD"/>
    <w:rsid w:val="003511A0"/>
    <w:rsid w:val="00351D5C"/>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55F3"/>
    <w:rsid w:val="003660C3"/>
    <w:rsid w:val="003674D6"/>
    <w:rsid w:val="00367652"/>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14D8"/>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2F69"/>
    <w:rsid w:val="003D3928"/>
    <w:rsid w:val="003D4443"/>
    <w:rsid w:val="003D57A6"/>
    <w:rsid w:val="003D7DFC"/>
    <w:rsid w:val="003E09F3"/>
    <w:rsid w:val="003E0B7F"/>
    <w:rsid w:val="003E13D6"/>
    <w:rsid w:val="003E2B33"/>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AB"/>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DFE"/>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37D"/>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1CF"/>
    <w:rsid w:val="004459DC"/>
    <w:rsid w:val="00445FD6"/>
    <w:rsid w:val="004461AE"/>
    <w:rsid w:val="00446C12"/>
    <w:rsid w:val="00447B33"/>
    <w:rsid w:val="004508C9"/>
    <w:rsid w:val="00451022"/>
    <w:rsid w:val="00451613"/>
    <w:rsid w:val="00453F03"/>
    <w:rsid w:val="00453FC7"/>
    <w:rsid w:val="00456089"/>
    <w:rsid w:val="004561CE"/>
    <w:rsid w:val="00460F60"/>
    <w:rsid w:val="0046182B"/>
    <w:rsid w:val="0046195E"/>
    <w:rsid w:val="00461F33"/>
    <w:rsid w:val="00462040"/>
    <w:rsid w:val="00462591"/>
    <w:rsid w:val="00462C6E"/>
    <w:rsid w:val="004651AA"/>
    <w:rsid w:val="00465C10"/>
    <w:rsid w:val="004674B3"/>
    <w:rsid w:val="00470486"/>
    <w:rsid w:val="00470EF9"/>
    <w:rsid w:val="00471BD9"/>
    <w:rsid w:val="00471C3B"/>
    <w:rsid w:val="00471FDF"/>
    <w:rsid w:val="00472079"/>
    <w:rsid w:val="00472AE1"/>
    <w:rsid w:val="00472C37"/>
    <w:rsid w:val="0047376C"/>
    <w:rsid w:val="004738E9"/>
    <w:rsid w:val="00473B56"/>
    <w:rsid w:val="00473DD2"/>
    <w:rsid w:val="00474579"/>
    <w:rsid w:val="0047670A"/>
    <w:rsid w:val="0047727E"/>
    <w:rsid w:val="00477325"/>
    <w:rsid w:val="0047768B"/>
    <w:rsid w:val="00480436"/>
    <w:rsid w:val="00481444"/>
    <w:rsid w:val="004822DE"/>
    <w:rsid w:val="00483AC9"/>
    <w:rsid w:val="00483DBF"/>
    <w:rsid w:val="00483EDB"/>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3BF"/>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748"/>
    <w:rsid w:val="004C1F3A"/>
    <w:rsid w:val="004C2088"/>
    <w:rsid w:val="004C2DDC"/>
    <w:rsid w:val="004C2F9E"/>
    <w:rsid w:val="004C32A3"/>
    <w:rsid w:val="004C39CA"/>
    <w:rsid w:val="004C3BD1"/>
    <w:rsid w:val="004C5C6C"/>
    <w:rsid w:val="004C61E1"/>
    <w:rsid w:val="004C6D68"/>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0DD"/>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963"/>
    <w:rsid w:val="00575A0C"/>
    <w:rsid w:val="0058119F"/>
    <w:rsid w:val="00583755"/>
    <w:rsid w:val="00585598"/>
    <w:rsid w:val="005860CF"/>
    <w:rsid w:val="00586587"/>
    <w:rsid w:val="00590057"/>
    <w:rsid w:val="0059019D"/>
    <w:rsid w:val="00590EDD"/>
    <w:rsid w:val="00591416"/>
    <w:rsid w:val="005920F8"/>
    <w:rsid w:val="005925D3"/>
    <w:rsid w:val="00592C6A"/>
    <w:rsid w:val="005931C9"/>
    <w:rsid w:val="005967B6"/>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0637"/>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340"/>
    <w:rsid w:val="006157AC"/>
    <w:rsid w:val="00615CF4"/>
    <w:rsid w:val="00615D26"/>
    <w:rsid w:val="00616026"/>
    <w:rsid w:val="00617449"/>
    <w:rsid w:val="00621C01"/>
    <w:rsid w:val="00621EEA"/>
    <w:rsid w:val="006221B9"/>
    <w:rsid w:val="0062223D"/>
    <w:rsid w:val="00622CA7"/>
    <w:rsid w:val="00623161"/>
    <w:rsid w:val="00623546"/>
    <w:rsid w:val="00623783"/>
    <w:rsid w:val="006241AA"/>
    <w:rsid w:val="00624776"/>
    <w:rsid w:val="0062524D"/>
    <w:rsid w:val="006255F1"/>
    <w:rsid w:val="00627968"/>
    <w:rsid w:val="00630525"/>
    <w:rsid w:val="00630979"/>
    <w:rsid w:val="0063123F"/>
    <w:rsid w:val="00631569"/>
    <w:rsid w:val="00631EEC"/>
    <w:rsid w:val="00632295"/>
    <w:rsid w:val="00633361"/>
    <w:rsid w:val="006341BE"/>
    <w:rsid w:val="0063643E"/>
    <w:rsid w:val="00636883"/>
    <w:rsid w:val="00636A13"/>
    <w:rsid w:val="006407A2"/>
    <w:rsid w:val="00641959"/>
    <w:rsid w:val="00641B1C"/>
    <w:rsid w:val="00641CF9"/>
    <w:rsid w:val="00641EC1"/>
    <w:rsid w:val="00642EB8"/>
    <w:rsid w:val="006443EA"/>
    <w:rsid w:val="006446B7"/>
    <w:rsid w:val="00644EC0"/>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6EC"/>
    <w:rsid w:val="00671D98"/>
    <w:rsid w:val="00672002"/>
    <w:rsid w:val="006724DC"/>
    <w:rsid w:val="0067309F"/>
    <w:rsid w:val="00674557"/>
    <w:rsid w:val="00674F5B"/>
    <w:rsid w:val="00675144"/>
    <w:rsid w:val="00675153"/>
    <w:rsid w:val="00675231"/>
    <w:rsid w:val="006752C6"/>
    <w:rsid w:val="00675C2D"/>
    <w:rsid w:val="00675F6F"/>
    <w:rsid w:val="006760E3"/>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97994"/>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1E01"/>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3"/>
    <w:rsid w:val="006D6286"/>
    <w:rsid w:val="006D6865"/>
    <w:rsid w:val="006D7161"/>
    <w:rsid w:val="006D75D1"/>
    <w:rsid w:val="006D7B37"/>
    <w:rsid w:val="006E0DC6"/>
    <w:rsid w:val="006E200F"/>
    <w:rsid w:val="006E2A00"/>
    <w:rsid w:val="006E323E"/>
    <w:rsid w:val="006E543C"/>
    <w:rsid w:val="006E659A"/>
    <w:rsid w:val="006E67EE"/>
    <w:rsid w:val="006F0510"/>
    <w:rsid w:val="006F12CE"/>
    <w:rsid w:val="006F1E59"/>
    <w:rsid w:val="006F209C"/>
    <w:rsid w:val="006F2283"/>
    <w:rsid w:val="006F2969"/>
    <w:rsid w:val="006F464A"/>
    <w:rsid w:val="006F4DAB"/>
    <w:rsid w:val="006F5066"/>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244"/>
    <w:rsid w:val="00713E8F"/>
    <w:rsid w:val="0071563F"/>
    <w:rsid w:val="0071571C"/>
    <w:rsid w:val="007165E3"/>
    <w:rsid w:val="007167E2"/>
    <w:rsid w:val="00717223"/>
    <w:rsid w:val="007172D5"/>
    <w:rsid w:val="00717ADF"/>
    <w:rsid w:val="00717D1E"/>
    <w:rsid w:val="007208BD"/>
    <w:rsid w:val="0072118B"/>
    <w:rsid w:val="00721B42"/>
    <w:rsid w:val="0072304C"/>
    <w:rsid w:val="007235E4"/>
    <w:rsid w:val="0072467C"/>
    <w:rsid w:val="00724B18"/>
    <w:rsid w:val="00726AF6"/>
    <w:rsid w:val="00727705"/>
    <w:rsid w:val="00727972"/>
    <w:rsid w:val="00730802"/>
    <w:rsid w:val="00730B33"/>
    <w:rsid w:val="00730BFA"/>
    <w:rsid w:val="007329AF"/>
    <w:rsid w:val="00734D12"/>
    <w:rsid w:val="00735AF5"/>
    <w:rsid w:val="007368C4"/>
    <w:rsid w:val="00736DE8"/>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3781"/>
    <w:rsid w:val="00775970"/>
    <w:rsid w:val="007761F6"/>
    <w:rsid w:val="0077663C"/>
    <w:rsid w:val="00776D50"/>
    <w:rsid w:val="00777365"/>
    <w:rsid w:val="007777EE"/>
    <w:rsid w:val="00780DC4"/>
    <w:rsid w:val="00782844"/>
    <w:rsid w:val="00782A62"/>
    <w:rsid w:val="00782EBF"/>
    <w:rsid w:val="00782FDA"/>
    <w:rsid w:val="007830D9"/>
    <w:rsid w:val="00783465"/>
    <w:rsid w:val="00784B2C"/>
    <w:rsid w:val="007850B2"/>
    <w:rsid w:val="0078533C"/>
    <w:rsid w:val="0078773E"/>
    <w:rsid w:val="00787810"/>
    <w:rsid w:val="0079081A"/>
    <w:rsid w:val="00790909"/>
    <w:rsid w:val="00790A12"/>
    <w:rsid w:val="0079122A"/>
    <w:rsid w:val="00791D8A"/>
    <w:rsid w:val="00791DBE"/>
    <w:rsid w:val="007937FE"/>
    <w:rsid w:val="00793E7F"/>
    <w:rsid w:val="007945F0"/>
    <w:rsid w:val="00794661"/>
    <w:rsid w:val="00796469"/>
    <w:rsid w:val="00796E0C"/>
    <w:rsid w:val="00797CB1"/>
    <w:rsid w:val="007A3993"/>
    <w:rsid w:val="007A5161"/>
    <w:rsid w:val="007A5379"/>
    <w:rsid w:val="007A6698"/>
    <w:rsid w:val="007A70AF"/>
    <w:rsid w:val="007B0051"/>
    <w:rsid w:val="007B23BC"/>
    <w:rsid w:val="007B27A7"/>
    <w:rsid w:val="007B3356"/>
    <w:rsid w:val="007B33E4"/>
    <w:rsid w:val="007B40BB"/>
    <w:rsid w:val="007B4407"/>
    <w:rsid w:val="007B4D27"/>
    <w:rsid w:val="007B4E3C"/>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4E79"/>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8FF"/>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17C9D"/>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4E7C"/>
    <w:rsid w:val="008357C5"/>
    <w:rsid w:val="008365D8"/>
    <w:rsid w:val="00837B4B"/>
    <w:rsid w:val="00837EF8"/>
    <w:rsid w:val="00840240"/>
    <w:rsid w:val="008402D0"/>
    <w:rsid w:val="0084104F"/>
    <w:rsid w:val="00841C1F"/>
    <w:rsid w:val="00842243"/>
    <w:rsid w:val="008423D4"/>
    <w:rsid w:val="00842AAA"/>
    <w:rsid w:val="00842BCC"/>
    <w:rsid w:val="008436DD"/>
    <w:rsid w:val="00843714"/>
    <w:rsid w:val="00843F3F"/>
    <w:rsid w:val="00844251"/>
    <w:rsid w:val="0084548C"/>
    <w:rsid w:val="0084564D"/>
    <w:rsid w:val="008456A7"/>
    <w:rsid w:val="00845E32"/>
    <w:rsid w:val="00846EA8"/>
    <w:rsid w:val="00846FCE"/>
    <w:rsid w:val="00847A0E"/>
    <w:rsid w:val="00847E56"/>
    <w:rsid w:val="008502DA"/>
    <w:rsid w:val="00850CFB"/>
    <w:rsid w:val="00851962"/>
    <w:rsid w:val="00852BD3"/>
    <w:rsid w:val="00854257"/>
    <w:rsid w:val="00854B85"/>
    <w:rsid w:val="00854DDE"/>
    <w:rsid w:val="00855790"/>
    <w:rsid w:val="00855940"/>
    <w:rsid w:val="00855C4D"/>
    <w:rsid w:val="008573CD"/>
    <w:rsid w:val="008603C1"/>
    <w:rsid w:val="008611CD"/>
    <w:rsid w:val="0086198E"/>
    <w:rsid w:val="00862121"/>
    <w:rsid w:val="00862D87"/>
    <w:rsid w:val="0086330D"/>
    <w:rsid w:val="00863CEA"/>
    <w:rsid w:val="00863FB9"/>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CC2"/>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010"/>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D70"/>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634"/>
    <w:rsid w:val="00914A5A"/>
    <w:rsid w:val="00914F06"/>
    <w:rsid w:val="009154F1"/>
    <w:rsid w:val="00916300"/>
    <w:rsid w:val="0092105F"/>
    <w:rsid w:val="00921B35"/>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87032"/>
    <w:rsid w:val="0099150C"/>
    <w:rsid w:val="00991CF9"/>
    <w:rsid w:val="00992EBB"/>
    <w:rsid w:val="00992F8C"/>
    <w:rsid w:val="009939D2"/>
    <w:rsid w:val="00993DCE"/>
    <w:rsid w:val="009950D2"/>
    <w:rsid w:val="0099571D"/>
    <w:rsid w:val="00995AB9"/>
    <w:rsid w:val="00995D2E"/>
    <w:rsid w:val="00996D22"/>
    <w:rsid w:val="009971D4"/>
    <w:rsid w:val="009974D7"/>
    <w:rsid w:val="00997ED1"/>
    <w:rsid w:val="009A0411"/>
    <w:rsid w:val="009A05B6"/>
    <w:rsid w:val="009A071B"/>
    <w:rsid w:val="009A144F"/>
    <w:rsid w:val="009A186D"/>
    <w:rsid w:val="009A2A8C"/>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6560"/>
    <w:rsid w:val="009D79B9"/>
    <w:rsid w:val="009D7E0C"/>
    <w:rsid w:val="009E0D3D"/>
    <w:rsid w:val="009E1118"/>
    <w:rsid w:val="009E11CA"/>
    <w:rsid w:val="009E28C5"/>
    <w:rsid w:val="009E36B9"/>
    <w:rsid w:val="009E3B02"/>
    <w:rsid w:val="009E3C7C"/>
    <w:rsid w:val="009E49DA"/>
    <w:rsid w:val="009E4C89"/>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448F"/>
    <w:rsid w:val="009F5809"/>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00"/>
    <w:rsid w:val="00A652DF"/>
    <w:rsid w:val="00A66947"/>
    <w:rsid w:val="00A70F9E"/>
    <w:rsid w:val="00A74F1B"/>
    <w:rsid w:val="00A75C41"/>
    <w:rsid w:val="00A75E43"/>
    <w:rsid w:val="00A76DB9"/>
    <w:rsid w:val="00A807EA"/>
    <w:rsid w:val="00A809A6"/>
    <w:rsid w:val="00A80C64"/>
    <w:rsid w:val="00A81749"/>
    <w:rsid w:val="00A81FD2"/>
    <w:rsid w:val="00A82CF6"/>
    <w:rsid w:val="00A8386D"/>
    <w:rsid w:val="00A8556F"/>
    <w:rsid w:val="00A858FA"/>
    <w:rsid w:val="00A85E86"/>
    <w:rsid w:val="00A8662B"/>
    <w:rsid w:val="00A86D43"/>
    <w:rsid w:val="00A86FDB"/>
    <w:rsid w:val="00A87B56"/>
    <w:rsid w:val="00A90D97"/>
    <w:rsid w:val="00A91354"/>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A6AF6"/>
    <w:rsid w:val="00AB04F7"/>
    <w:rsid w:val="00AB2B03"/>
    <w:rsid w:val="00AB369D"/>
    <w:rsid w:val="00AB3C27"/>
    <w:rsid w:val="00AB4C44"/>
    <w:rsid w:val="00AB5E4A"/>
    <w:rsid w:val="00AB6DF2"/>
    <w:rsid w:val="00AC04D8"/>
    <w:rsid w:val="00AC0E3A"/>
    <w:rsid w:val="00AC1BD2"/>
    <w:rsid w:val="00AC1DC6"/>
    <w:rsid w:val="00AC2363"/>
    <w:rsid w:val="00AC238C"/>
    <w:rsid w:val="00AC27CF"/>
    <w:rsid w:val="00AC3054"/>
    <w:rsid w:val="00AC359E"/>
    <w:rsid w:val="00AC3E13"/>
    <w:rsid w:val="00AC5291"/>
    <w:rsid w:val="00AC587C"/>
    <w:rsid w:val="00AC5A86"/>
    <w:rsid w:val="00AC6C03"/>
    <w:rsid w:val="00AC7592"/>
    <w:rsid w:val="00AC7AEC"/>
    <w:rsid w:val="00AD02BB"/>
    <w:rsid w:val="00AD0CB4"/>
    <w:rsid w:val="00AD22F8"/>
    <w:rsid w:val="00AD28BA"/>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50"/>
    <w:rsid w:val="00AF0869"/>
    <w:rsid w:val="00AF1B5D"/>
    <w:rsid w:val="00AF3ACB"/>
    <w:rsid w:val="00AF4399"/>
    <w:rsid w:val="00AF5752"/>
    <w:rsid w:val="00AF62DA"/>
    <w:rsid w:val="00AF678B"/>
    <w:rsid w:val="00AF764A"/>
    <w:rsid w:val="00B001D0"/>
    <w:rsid w:val="00B00DBB"/>
    <w:rsid w:val="00B022FC"/>
    <w:rsid w:val="00B02F4F"/>
    <w:rsid w:val="00B03FCB"/>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3B3C"/>
    <w:rsid w:val="00B350F7"/>
    <w:rsid w:val="00B351B6"/>
    <w:rsid w:val="00B36247"/>
    <w:rsid w:val="00B3718D"/>
    <w:rsid w:val="00B372F1"/>
    <w:rsid w:val="00B379CC"/>
    <w:rsid w:val="00B37B21"/>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D12"/>
    <w:rsid w:val="00B83E9D"/>
    <w:rsid w:val="00B842CD"/>
    <w:rsid w:val="00B86160"/>
    <w:rsid w:val="00B861DB"/>
    <w:rsid w:val="00B87FBC"/>
    <w:rsid w:val="00B907DE"/>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92C"/>
    <w:rsid w:val="00BA7DF1"/>
    <w:rsid w:val="00BB386A"/>
    <w:rsid w:val="00BB3B54"/>
    <w:rsid w:val="00BB4170"/>
    <w:rsid w:val="00BB47D4"/>
    <w:rsid w:val="00BB4A90"/>
    <w:rsid w:val="00BB4F3D"/>
    <w:rsid w:val="00BB50AC"/>
    <w:rsid w:val="00BB5495"/>
    <w:rsid w:val="00BB5C88"/>
    <w:rsid w:val="00BB5D77"/>
    <w:rsid w:val="00BB5FD3"/>
    <w:rsid w:val="00BB66A9"/>
    <w:rsid w:val="00BB6CA6"/>
    <w:rsid w:val="00BB6E8D"/>
    <w:rsid w:val="00BB72DF"/>
    <w:rsid w:val="00BC0199"/>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8D4"/>
    <w:rsid w:val="00BD0A75"/>
    <w:rsid w:val="00BD1924"/>
    <w:rsid w:val="00BD234A"/>
    <w:rsid w:val="00BD2417"/>
    <w:rsid w:val="00BD3620"/>
    <w:rsid w:val="00BD388A"/>
    <w:rsid w:val="00BD62AF"/>
    <w:rsid w:val="00BD65A5"/>
    <w:rsid w:val="00BD67AF"/>
    <w:rsid w:val="00BD67E5"/>
    <w:rsid w:val="00BD68F0"/>
    <w:rsid w:val="00BD6C56"/>
    <w:rsid w:val="00BD6EDE"/>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0BC5"/>
    <w:rsid w:val="00C21627"/>
    <w:rsid w:val="00C22348"/>
    <w:rsid w:val="00C22AE7"/>
    <w:rsid w:val="00C243AF"/>
    <w:rsid w:val="00C24CF3"/>
    <w:rsid w:val="00C24D4A"/>
    <w:rsid w:val="00C257ED"/>
    <w:rsid w:val="00C26A16"/>
    <w:rsid w:val="00C276A9"/>
    <w:rsid w:val="00C27766"/>
    <w:rsid w:val="00C27AEA"/>
    <w:rsid w:val="00C30734"/>
    <w:rsid w:val="00C30B28"/>
    <w:rsid w:val="00C317F9"/>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4FE"/>
    <w:rsid w:val="00C41A4D"/>
    <w:rsid w:val="00C41BF8"/>
    <w:rsid w:val="00C41D69"/>
    <w:rsid w:val="00C42733"/>
    <w:rsid w:val="00C4293F"/>
    <w:rsid w:val="00C42F27"/>
    <w:rsid w:val="00C43218"/>
    <w:rsid w:val="00C45327"/>
    <w:rsid w:val="00C4551B"/>
    <w:rsid w:val="00C4731F"/>
    <w:rsid w:val="00C51023"/>
    <w:rsid w:val="00C51F25"/>
    <w:rsid w:val="00C521B9"/>
    <w:rsid w:val="00C52792"/>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3E72"/>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6D90"/>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A8A"/>
    <w:rsid w:val="00CA6BFB"/>
    <w:rsid w:val="00CB1A44"/>
    <w:rsid w:val="00CB1B9E"/>
    <w:rsid w:val="00CB287A"/>
    <w:rsid w:val="00CB4C09"/>
    <w:rsid w:val="00CB5368"/>
    <w:rsid w:val="00CB5568"/>
    <w:rsid w:val="00CB5634"/>
    <w:rsid w:val="00CB5985"/>
    <w:rsid w:val="00CB624B"/>
    <w:rsid w:val="00CB7124"/>
    <w:rsid w:val="00CC091C"/>
    <w:rsid w:val="00CC141E"/>
    <w:rsid w:val="00CC1898"/>
    <w:rsid w:val="00CC241E"/>
    <w:rsid w:val="00CC373D"/>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747"/>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4BA5"/>
    <w:rsid w:val="00D45267"/>
    <w:rsid w:val="00D47975"/>
    <w:rsid w:val="00D47B04"/>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892"/>
    <w:rsid w:val="00D64938"/>
    <w:rsid w:val="00D652A5"/>
    <w:rsid w:val="00D67DB1"/>
    <w:rsid w:val="00D7086A"/>
    <w:rsid w:val="00D7157A"/>
    <w:rsid w:val="00D715F8"/>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30AD"/>
    <w:rsid w:val="00DA3155"/>
    <w:rsid w:val="00DA36F0"/>
    <w:rsid w:val="00DA44C7"/>
    <w:rsid w:val="00DA458B"/>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15A1"/>
    <w:rsid w:val="00DE30BF"/>
    <w:rsid w:val="00DE5108"/>
    <w:rsid w:val="00DE57A4"/>
    <w:rsid w:val="00DE6A4A"/>
    <w:rsid w:val="00DF0AB2"/>
    <w:rsid w:val="00DF2324"/>
    <w:rsid w:val="00DF2588"/>
    <w:rsid w:val="00DF26E9"/>
    <w:rsid w:val="00DF38C4"/>
    <w:rsid w:val="00DF628C"/>
    <w:rsid w:val="00DF6795"/>
    <w:rsid w:val="00DF7BCA"/>
    <w:rsid w:val="00E00954"/>
    <w:rsid w:val="00E015E3"/>
    <w:rsid w:val="00E02698"/>
    <w:rsid w:val="00E03CAF"/>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450"/>
    <w:rsid w:val="00E17E31"/>
    <w:rsid w:val="00E201C7"/>
    <w:rsid w:val="00E203E1"/>
    <w:rsid w:val="00E2065A"/>
    <w:rsid w:val="00E20EF2"/>
    <w:rsid w:val="00E210EF"/>
    <w:rsid w:val="00E21212"/>
    <w:rsid w:val="00E221D3"/>
    <w:rsid w:val="00E229FA"/>
    <w:rsid w:val="00E23A3B"/>
    <w:rsid w:val="00E2525C"/>
    <w:rsid w:val="00E25A5D"/>
    <w:rsid w:val="00E25CBE"/>
    <w:rsid w:val="00E2647E"/>
    <w:rsid w:val="00E26B8D"/>
    <w:rsid w:val="00E272AA"/>
    <w:rsid w:val="00E275A7"/>
    <w:rsid w:val="00E300DF"/>
    <w:rsid w:val="00E3061D"/>
    <w:rsid w:val="00E30D0A"/>
    <w:rsid w:val="00E3143A"/>
    <w:rsid w:val="00E31B0C"/>
    <w:rsid w:val="00E31C07"/>
    <w:rsid w:val="00E320A7"/>
    <w:rsid w:val="00E32F77"/>
    <w:rsid w:val="00E33EB0"/>
    <w:rsid w:val="00E363E8"/>
    <w:rsid w:val="00E36734"/>
    <w:rsid w:val="00E367E4"/>
    <w:rsid w:val="00E369F0"/>
    <w:rsid w:val="00E37078"/>
    <w:rsid w:val="00E3719F"/>
    <w:rsid w:val="00E3725B"/>
    <w:rsid w:val="00E37C58"/>
    <w:rsid w:val="00E4081C"/>
    <w:rsid w:val="00E40A16"/>
    <w:rsid w:val="00E40F22"/>
    <w:rsid w:val="00E413AA"/>
    <w:rsid w:val="00E41E03"/>
    <w:rsid w:val="00E4249E"/>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728"/>
    <w:rsid w:val="00E64ECB"/>
    <w:rsid w:val="00E65190"/>
    <w:rsid w:val="00E658D4"/>
    <w:rsid w:val="00E6712E"/>
    <w:rsid w:val="00E67439"/>
    <w:rsid w:val="00E70E54"/>
    <w:rsid w:val="00E70EBD"/>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527E"/>
    <w:rsid w:val="00EA757B"/>
    <w:rsid w:val="00EA77D9"/>
    <w:rsid w:val="00EA7981"/>
    <w:rsid w:val="00EA7AF6"/>
    <w:rsid w:val="00EA7AFC"/>
    <w:rsid w:val="00EB054A"/>
    <w:rsid w:val="00EB08A4"/>
    <w:rsid w:val="00EB0D96"/>
    <w:rsid w:val="00EB1317"/>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A3A"/>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5F38"/>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47BF"/>
    <w:rsid w:val="00F5673F"/>
    <w:rsid w:val="00F567FF"/>
    <w:rsid w:val="00F56861"/>
    <w:rsid w:val="00F56AF9"/>
    <w:rsid w:val="00F56DEF"/>
    <w:rsid w:val="00F600D3"/>
    <w:rsid w:val="00F60493"/>
    <w:rsid w:val="00F60E2F"/>
    <w:rsid w:val="00F623E4"/>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ACA"/>
    <w:rsid w:val="00F720B9"/>
    <w:rsid w:val="00F76641"/>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5F1B"/>
    <w:rsid w:val="00FA772C"/>
    <w:rsid w:val="00FA7E8C"/>
    <w:rsid w:val="00FB1198"/>
    <w:rsid w:val="00FB224C"/>
    <w:rsid w:val="00FB254C"/>
    <w:rsid w:val="00FB4BF0"/>
    <w:rsid w:val="00FB5B74"/>
    <w:rsid w:val="00FB5FDF"/>
    <w:rsid w:val="00FB6BC0"/>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29B6"/>
    <w:rsid w:val="00FD32DA"/>
    <w:rsid w:val="00FD35F6"/>
    <w:rsid w:val="00FD3880"/>
    <w:rsid w:val="00FD501D"/>
    <w:rsid w:val="00FD58F8"/>
    <w:rsid w:val="00FD5DB4"/>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689"/>
    <w:rsid w:val="00FE573C"/>
    <w:rsid w:val="00FE69C9"/>
    <w:rsid w:val="00FE6D63"/>
    <w:rsid w:val="00FF0840"/>
    <w:rsid w:val="00FF0AD4"/>
    <w:rsid w:val="00FF2EE8"/>
    <w:rsid w:val="00FF30E6"/>
    <w:rsid w:val="00FF3812"/>
    <w:rsid w:val="00FF4434"/>
    <w:rsid w:val="00FF48FB"/>
    <w:rsid w:val="00FF5529"/>
    <w:rsid w:val="00FF5AC1"/>
    <w:rsid w:val="00FF5CD1"/>
    <w:rsid w:val="00FF5CEE"/>
    <w:rsid w:val="00FF5FFE"/>
    <w:rsid w:val="00FF7436"/>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BD08D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BD0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0074480">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67856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6481523">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6062211">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7496807">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ABB87-0E52-46E9-B0FF-A80C3CF94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1191</Words>
  <Characters>6790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5</cp:revision>
  <cp:lastPrinted>2007-08-28T14:45:00Z</cp:lastPrinted>
  <dcterms:created xsi:type="dcterms:W3CDTF">2019-03-28T16:44:00Z</dcterms:created>
  <dcterms:modified xsi:type="dcterms:W3CDTF">2019-03-29T03:41:00Z</dcterms:modified>
</cp:coreProperties>
</file>